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EF3B4DD" w14:textId="5F932B36" w:rsidR="00EE067C" w:rsidRPr="00B50BA2" w:rsidRDefault="00580BD3" w:rsidP="005F75F9">
      <w:pPr>
        <w:pStyle w:val="Title"/>
      </w:pPr>
      <w:r w:rsidRPr="00B50BA2">
        <w:t>Harmonization Pattern for Unique Device Identifiers</w:t>
      </w:r>
      <w:r w:rsidR="009E0792">
        <w:t xml:space="preserve"> – R</w:t>
      </w:r>
      <w:r w:rsidR="0093591F">
        <w:t>3</w:t>
      </w:r>
    </w:p>
    <w:p w14:paraId="61DF9429" w14:textId="3A83D661" w:rsidR="00580BD3" w:rsidRPr="00E32A16" w:rsidRDefault="00981706" w:rsidP="00580BD3">
      <w:pPr>
        <w:spacing w:after="0"/>
        <w:rPr>
          <w:b/>
        </w:rPr>
      </w:pPr>
      <w:r>
        <w:rPr>
          <w:b/>
        </w:rPr>
        <w:t>March</w:t>
      </w:r>
      <w:r w:rsidR="00ED7C89">
        <w:rPr>
          <w:b/>
        </w:rPr>
        <w:t xml:space="preserve"> </w:t>
      </w:r>
      <w:r w:rsidR="008072E7">
        <w:rPr>
          <w:b/>
        </w:rPr>
        <w:t>1</w:t>
      </w:r>
      <w:r w:rsidR="00F503FB">
        <w:rPr>
          <w:b/>
        </w:rPr>
        <w:t>4</w:t>
      </w:r>
      <w:r w:rsidR="00B50BA2">
        <w:rPr>
          <w:b/>
        </w:rPr>
        <w:t xml:space="preserve"> 201</w:t>
      </w:r>
      <w:r>
        <w:rPr>
          <w:b/>
        </w:rPr>
        <w:t>6</w:t>
      </w:r>
    </w:p>
    <w:p w14:paraId="17A3B732" w14:textId="77777777" w:rsidR="004274BD" w:rsidRPr="0085484B" w:rsidRDefault="00D44035" w:rsidP="00BF6821">
      <w:pPr>
        <w:pStyle w:val="Heading1"/>
      </w:pPr>
      <w:r w:rsidRPr="0085484B">
        <w:t>Preamble</w:t>
      </w:r>
    </w:p>
    <w:p w14:paraId="5AB7C367" w14:textId="68ED3544" w:rsidR="00662663" w:rsidRDefault="00662663" w:rsidP="00580BD3">
      <w:pPr>
        <w:spacing w:after="0"/>
        <w:rPr>
          <w:bCs/>
        </w:rPr>
      </w:pPr>
      <w:r>
        <w:rPr>
          <w:bCs/>
        </w:rPr>
        <w:t>In April 2013 the International Medical Device Regulators Forum IMDRF UDI Working Group published ‘UDI System for Medical Devices (Version 2.0)’, the basal specification for Unique Device Identifiers (UDI</w:t>
      </w:r>
      <w:r w:rsidR="00161522">
        <w:rPr>
          <w:bCs/>
        </w:rPr>
        <w:t xml:space="preserve">. </w:t>
      </w:r>
      <w:r w:rsidRPr="000A5B51">
        <w:rPr>
          <w:bCs/>
        </w:rPr>
        <w:t xml:space="preserve">The US FDA </w:t>
      </w:r>
      <w:r>
        <w:rPr>
          <w:bCs/>
        </w:rPr>
        <w:t xml:space="preserve">has produced a </w:t>
      </w:r>
      <w:r w:rsidR="00161522">
        <w:rPr>
          <w:bCs/>
        </w:rPr>
        <w:t>implementation guide</w:t>
      </w:r>
      <w:r w:rsidR="008F076C">
        <w:rPr>
          <w:rStyle w:val="FootnoteReference"/>
          <w:bCs/>
        </w:rPr>
        <w:footnoteReference w:id="1"/>
      </w:r>
      <w:r w:rsidR="008F076C">
        <w:t xml:space="preserve"> </w:t>
      </w:r>
      <w:r>
        <w:rPr>
          <w:bCs/>
        </w:rPr>
        <w:t xml:space="preserve">for </w:t>
      </w:r>
      <w:r w:rsidR="009E32AA">
        <w:rPr>
          <w:bCs/>
        </w:rPr>
        <w:t>Unique</w:t>
      </w:r>
      <w:r w:rsidR="009E32AA">
        <w:rPr>
          <w:bCs/>
        </w:rPr>
        <w:t xml:space="preserve"> </w:t>
      </w:r>
      <w:r>
        <w:rPr>
          <w:bCs/>
        </w:rPr>
        <w:t xml:space="preserve">Device Identifiers (UDI) which implements the IMDRF specification for the United States and provides requirements and timing for use of UDI with different classes of medical devices. </w:t>
      </w:r>
      <w:r w:rsidR="008F076C">
        <w:rPr>
          <w:bCs/>
        </w:rPr>
        <w:t xml:space="preserve">Other jurisdictions are expected produce similar </w:t>
      </w:r>
      <w:r w:rsidR="00BF6821">
        <w:rPr>
          <w:bCs/>
        </w:rPr>
        <w:t>IMDRF implementation guides</w:t>
      </w:r>
      <w:r w:rsidR="008F076C">
        <w:rPr>
          <w:bCs/>
        </w:rPr>
        <w:t xml:space="preserve"> for UDI use in other </w:t>
      </w:r>
      <w:r w:rsidR="009E32AA">
        <w:rPr>
          <w:bCs/>
        </w:rPr>
        <w:t>regulatory regions</w:t>
      </w:r>
      <w:r w:rsidR="008F076C">
        <w:rPr>
          <w:bCs/>
        </w:rPr>
        <w:t xml:space="preserve">. </w:t>
      </w:r>
      <w:r>
        <w:rPr>
          <w:bCs/>
        </w:rPr>
        <w:t>This document describes how to use and exchange UDIs within HL7 standards</w:t>
      </w:r>
      <w:r w:rsidR="008F076C">
        <w:rPr>
          <w:bCs/>
        </w:rPr>
        <w:t xml:space="preserve"> in general</w:t>
      </w:r>
      <w:r>
        <w:rPr>
          <w:bCs/>
        </w:rPr>
        <w:t>.</w:t>
      </w:r>
      <w:r w:rsidR="008F076C">
        <w:rPr>
          <w:bCs/>
        </w:rPr>
        <w:t xml:space="preserve">  It also provides a limited amount of guidance specific to the FDA specification</w:t>
      </w:r>
    </w:p>
    <w:p w14:paraId="0C9A1150" w14:textId="77777777" w:rsidR="00662663" w:rsidRDefault="00662663" w:rsidP="00580BD3">
      <w:pPr>
        <w:spacing w:after="0"/>
        <w:rPr>
          <w:bCs/>
        </w:rPr>
      </w:pPr>
    </w:p>
    <w:p w14:paraId="27DCD296" w14:textId="5AA67D3C" w:rsidR="008F076C" w:rsidRDefault="008F076C" w:rsidP="00580BD3">
      <w:pPr>
        <w:spacing w:after="0"/>
      </w:pPr>
      <w:r>
        <w:t>T</w:t>
      </w:r>
      <w:r w:rsidR="004274BD">
        <w:t xml:space="preserve">his Harmonization Pattern </w:t>
      </w:r>
      <w:r>
        <w:t>has two objectives:</w:t>
      </w:r>
    </w:p>
    <w:p w14:paraId="6DDCF4B1" w14:textId="22BC3336" w:rsidR="008F076C" w:rsidRDefault="008F076C" w:rsidP="00BF6821">
      <w:pPr>
        <w:numPr>
          <w:ilvl w:val="0"/>
          <w:numId w:val="4"/>
        </w:numPr>
        <w:spacing w:after="0"/>
      </w:pPr>
      <w:r>
        <w:t>T</w:t>
      </w:r>
      <w:r w:rsidR="004274BD">
        <w:t xml:space="preserve">o describe </w:t>
      </w:r>
      <w:r>
        <w:t xml:space="preserve">how UDI </w:t>
      </w:r>
      <w:r w:rsidR="0092105E">
        <w:t xml:space="preserve">carriers </w:t>
      </w:r>
      <w:r>
        <w:t>and their component elements should be referenced in different HL7 data transport standards to ensure consistent representation of UDI information and to better allow conversion of UDI information when translating between standards</w:t>
      </w:r>
    </w:p>
    <w:p w14:paraId="6960CA7D" w14:textId="1CAB03BE" w:rsidR="004274BD" w:rsidRDefault="008F076C" w:rsidP="00BF6821">
      <w:pPr>
        <w:numPr>
          <w:ilvl w:val="0"/>
          <w:numId w:val="4"/>
        </w:numPr>
        <w:spacing w:after="0"/>
      </w:pPr>
      <w:r>
        <w:t>To provide additional guidance around best practices for representing UDI information that applies to many implementation environments and which maximizes system interoperability</w:t>
      </w:r>
      <w:r w:rsidR="004274BD">
        <w:t>.</w:t>
      </w:r>
    </w:p>
    <w:p w14:paraId="4144FA8C" w14:textId="185D192D" w:rsidR="003B02C6" w:rsidRDefault="003B02C6" w:rsidP="00580BD3">
      <w:pPr>
        <w:spacing w:after="0"/>
      </w:pPr>
    </w:p>
    <w:p w14:paraId="469B9D27" w14:textId="2C9BF9A1" w:rsidR="008F076C" w:rsidRDefault="008F076C" w:rsidP="00BF6821">
      <w:pPr>
        <w:pStyle w:val="Heading2"/>
      </w:pPr>
      <w:r>
        <w:t>UDI Background</w:t>
      </w:r>
    </w:p>
    <w:p w14:paraId="76C47073" w14:textId="6F21682A" w:rsidR="008F076C" w:rsidRPr="008F076C" w:rsidRDefault="008F076C" w:rsidP="00BF6821">
      <w:r>
        <w:t xml:space="preserve">The following table describes the data elements that will be addressed by this specification – both the UDI </w:t>
      </w:r>
      <w:r w:rsidR="004C47A1">
        <w:t>carrier</w:t>
      </w:r>
      <w:r w:rsidR="004A14F4">
        <w:t xml:space="preserve"> </w:t>
      </w:r>
      <w:r>
        <w:t>itself as well as the standard device-related elements that can be conveyed within a UDI</w:t>
      </w:r>
      <w:r w:rsidR="004A14F4">
        <w:t xml:space="preserve"> </w:t>
      </w:r>
      <w:r w:rsidR="004C47A1">
        <w:t>carrier</w:t>
      </w:r>
      <w:r w:rsidR="00A300E9">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EECE1"/>
        <w:tblLook w:val="04A0" w:firstRow="1" w:lastRow="0" w:firstColumn="1" w:lastColumn="0" w:noHBand="0" w:noVBand="1"/>
      </w:tblPr>
      <w:tblGrid>
        <w:gridCol w:w="1633"/>
        <w:gridCol w:w="1579"/>
        <w:gridCol w:w="1584"/>
        <w:gridCol w:w="1239"/>
        <w:gridCol w:w="4755"/>
      </w:tblGrid>
      <w:tr w:rsidR="00E84882" w:rsidRPr="00D56F9F" w14:paraId="2C5F2151" w14:textId="77777777" w:rsidTr="00D56F9F">
        <w:tc>
          <w:tcPr>
            <w:tcW w:w="11016" w:type="dxa"/>
            <w:gridSpan w:val="5"/>
            <w:tcBorders>
              <w:bottom w:val="single" w:sz="4" w:space="0" w:color="auto"/>
            </w:tcBorders>
            <w:shd w:val="clear" w:color="auto" w:fill="EEECE1"/>
          </w:tcPr>
          <w:p w14:paraId="0E4C9E3C" w14:textId="77777777" w:rsidR="00E7514D" w:rsidRPr="00D56F9F" w:rsidRDefault="00D44035" w:rsidP="00D56F9F">
            <w:pPr>
              <w:spacing w:after="0" w:line="240" w:lineRule="auto"/>
              <w:jc w:val="center"/>
              <w:rPr>
                <w:b/>
              </w:rPr>
            </w:pPr>
            <w:r w:rsidRPr="00D56F9F">
              <w:rPr>
                <w:b/>
              </w:rPr>
              <w:t>UDI and Contained Elements</w:t>
            </w:r>
          </w:p>
        </w:tc>
      </w:tr>
      <w:tr w:rsidR="00A05E4F" w:rsidRPr="00D56F9F" w14:paraId="103FC2C8" w14:textId="77777777" w:rsidTr="003527B3">
        <w:tc>
          <w:tcPr>
            <w:tcW w:w="1749" w:type="dxa"/>
            <w:tcBorders>
              <w:bottom w:val="single" w:sz="4" w:space="0" w:color="auto"/>
            </w:tcBorders>
            <w:shd w:val="clear" w:color="auto" w:fill="EEECE1"/>
          </w:tcPr>
          <w:p w14:paraId="588DD8C5" w14:textId="77777777" w:rsidR="00737B53" w:rsidRPr="00D56F9F" w:rsidRDefault="00D44035" w:rsidP="00580BD3">
            <w:pPr>
              <w:rPr>
                <w:b/>
              </w:rPr>
            </w:pPr>
            <w:r w:rsidRPr="00D56F9F">
              <w:rPr>
                <w:b/>
              </w:rPr>
              <w:t>Element</w:t>
            </w:r>
          </w:p>
        </w:tc>
        <w:tc>
          <w:tcPr>
            <w:tcW w:w="1657" w:type="dxa"/>
            <w:tcBorders>
              <w:bottom w:val="single" w:sz="4" w:space="0" w:color="auto"/>
            </w:tcBorders>
            <w:shd w:val="clear" w:color="auto" w:fill="EEECE1"/>
          </w:tcPr>
          <w:p w14:paraId="54C1EE2F" w14:textId="77777777" w:rsidR="00737B53" w:rsidRPr="00D56F9F" w:rsidRDefault="00D44035" w:rsidP="00580BD3">
            <w:pPr>
              <w:rPr>
                <w:b/>
              </w:rPr>
            </w:pPr>
            <w:r w:rsidRPr="00D56F9F">
              <w:rPr>
                <w:b/>
              </w:rPr>
              <w:t>Description</w:t>
            </w:r>
          </w:p>
        </w:tc>
        <w:tc>
          <w:tcPr>
            <w:tcW w:w="1584" w:type="dxa"/>
            <w:tcBorders>
              <w:bottom w:val="single" w:sz="4" w:space="0" w:color="auto"/>
            </w:tcBorders>
            <w:shd w:val="clear" w:color="auto" w:fill="EEECE1"/>
          </w:tcPr>
          <w:p w14:paraId="2EDB5B24" w14:textId="77777777" w:rsidR="00737B53" w:rsidRPr="00D56F9F" w:rsidRDefault="00D44035" w:rsidP="00580BD3">
            <w:pPr>
              <w:rPr>
                <w:b/>
              </w:rPr>
            </w:pPr>
            <w:r w:rsidRPr="00D56F9F">
              <w:rPr>
                <w:b/>
              </w:rPr>
              <w:t>Data Type</w:t>
            </w:r>
          </w:p>
        </w:tc>
        <w:tc>
          <w:tcPr>
            <w:tcW w:w="1253" w:type="dxa"/>
            <w:tcBorders>
              <w:bottom w:val="single" w:sz="4" w:space="0" w:color="auto"/>
            </w:tcBorders>
            <w:shd w:val="clear" w:color="auto" w:fill="EEECE1"/>
          </w:tcPr>
          <w:p w14:paraId="3044344B" w14:textId="77777777" w:rsidR="00737B53" w:rsidRPr="00D56F9F" w:rsidRDefault="00D44035" w:rsidP="00580BD3">
            <w:pPr>
              <w:rPr>
                <w:b/>
              </w:rPr>
            </w:pPr>
            <w:r w:rsidRPr="00D56F9F">
              <w:rPr>
                <w:b/>
              </w:rPr>
              <w:t>Cardinality</w:t>
            </w:r>
          </w:p>
        </w:tc>
        <w:tc>
          <w:tcPr>
            <w:tcW w:w="4773" w:type="dxa"/>
            <w:tcBorders>
              <w:bottom w:val="single" w:sz="4" w:space="0" w:color="auto"/>
            </w:tcBorders>
            <w:shd w:val="clear" w:color="auto" w:fill="EEECE1"/>
          </w:tcPr>
          <w:p w14:paraId="4396EE46" w14:textId="77777777" w:rsidR="00737B53" w:rsidRPr="00D56F9F" w:rsidRDefault="00D44035" w:rsidP="00580BD3">
            <w:pPr>
              <w:rPr>
                <w:b/>
              </w:rPr>
            </w:pPr>
            <w:r w:rsidRPr="00D56F9F">
              <w:rPr>
                <w:b/>
              </w:rPr>
              <w:t>Notes</w:t>
            </w:r>
          </w:p>
        </w:tc>
      </w:tr>
      <w:tr w:rsidR="00A05E4F" w:rsidRPr="00D56F9F" w14:paraId="28F2AC1B" w14:textId="77777777" w:rsidTr="003527B3">
        <w:tc>
          <w:tcPr>
            <w:tcW w:w="1749" w:type="dxa"/>
            <w:shd w:val="clear" w:color="auto" w:fill="auto"/>
          </w:tcPr>
          <w:p w14:paraId="792033D7" w14:textId="77777777" w:rsidR="00737B53" w:rsidRPr="00D56F9F" w:rsidRDefault="00761780" w:rsidP="00D56F9F">
            <w:pPr>
              <w:spacing w:after="0" w:line="240" w:lineRule="auto"/>
            </w:pPr>
            <w:r w:rsidRPr="00D56F9F">
              <w:t>U</w:t>
            </w:r>
            <w:r w:rsidR="005E0E5F">
              <w:t>DI</w:t>
            </w:r>
          </w:p>
        </w:tc>
        <w:tc>
          <w:tcPr>
            <w:tcW w:w="1657" w:type="dxa"/>
            <w:shd w:val="clear" w:color="auto" w:fill="auto"/>
          </w:tcPr>
          <w:p w14:paraId="6371C05B" w14:textId="0EF9C293" w:rsidR="00737B53" w:rsidRPr="00D56F9F" w:rsidRDefault="00737B53" w:rsidP="00D56F9F">
            <w:pPr>
              <w:spacing w:after="0" w:line="240" w:lineRule="auto"/>
            </w:pPr>
            <w:r w:rsidRPr="00D56F9F">
              <w:t>Unique Device Identifier</w:t>
            </w:r>
          </w:p>
        </w:tc>
        <w:tc>
          <w:tcPr>
            <w:tcW w:w="1584" w:type="dxa"/>
            <w:shd w:val="clear" w:color="auto" w:fill="auto"/>
          </w:tcPr>
          <w:p w14:paraId="1DED49A3" w14:textId="77777777" w:rsidR="00737B53" w:rsidRPr="00D56F9F" w:rsidRDefault="00737B53" w:rsidP="00D56F9F">
            <w:pPr>
              <w:spacing w:after="0" w:line="240" w:lineRule="auto"/>
            </w:pPr>
            <w:r w:rsidRPr="00D56F9F">
              <w:t>Identifier</w:t>
            </w:r>
            <w:r w:rsidR="00EC23C9">
              <w:t>/Code</w:t>
            </w:r>
          </w:p>
        </w:tc>
        <w:tc>
          <w:tcPr>
            <w:tcW w:w="1253" w:type="dxa"/>
            <w:shd w:val="clear" w:color="auto" w:fill="auto"/>
          </w:tcPr>
          <w:p w14:paraId="332EBF3E" w14:textId="77777777" w:rsidR="00737B53" w:rsidRPr="00D56F9F" w:rsidRDefault="00737B53" w:rsidP="00D56F9F">
            <w:pPr>
              <w:spacing w:after="0" w:line="240" w:lineRule="auto"/>
            </w:pPr>
            <w:r w:rsidRPr="00D56F9F">
              <w:t>1..1</w:t>
            </w:r>
          </w:p>
        </w:tc>
        <w:tc>
          <w:tcPr>
            <w:tcW w:w="4773" w:type="dxa"/>
            <w:shd w:val="clear" w:color="auto" w:fill="auto"/>
          </w:tcPr>
          <w:p w14:paraId="236B7CE0" w14:textId="4E110C17" w:rsidR="009E0792" w:rsidRDefault="004C47A1" w:rsidP="009E0792">
            <w:pPr>
              <w:spacing w:after="0" w:line="240" w:lineRule="auto"/>
            </w:pPr>
            <w:r>
              <w:t>The full UDI carrier - e</w:t>
            </w:r>
            <w:r w:rsidR="00A300E9">
              <w:t>ither</w:t>
            </w:r>
            <w:r w:rsidR="009E0792">
              <w:t xml:space="preserve"> the </w:t>
            </w:r>
            <w:r w:rsidR="009E0792" w:rsidRPr="00D56F9F">
              <w:t>Human Readable Form</w:t>
            </w:r>
            <w:r w:rsidR="009E0792">
              <w:t xml:space="preserve"> </w:t>
            </w:r>
            <w:r w:rsidR="009E32AA">
              <w:rPr>
                <w:rStyle w:val="FootnoteReference"/>
              </w:rPr>
              <w:footnoteReference w:id="2"/>
            </w:r>
            <w:r w:rsidR="009E0792">
              <w:t>(HRF) representation of the barcode as printed on the packaging of the device</w:t>
            </w:r>
            <w:r w:rsidR="007048D3">
              <w:t xml:space="preserve"> or Automatic Identification and Data Capture (AIDC) representation</w:t>
            </w:r>
            <w:r w:rsidR="009E0792" w:rsidRPr="00D56F9F">
              <w:t>.</w:t>
            </w:r>
          </w:p>
          <w:p w14:paraId="61C1A96F" w14:textId="77777777" w:rsidR="00A300E9" w:rsidRPr="00D56F9F" w:rsidRDefault="00A300E9" w:rsidP="009E0792">
            <w:pPr>
              <w:spacing w:after="0" w:line="240" w:lineRule="auto"/>
            </w:pPr>
          </w:p>
          <w:p w14:paraId="07EFD280" w14:textId="6FA5F3C3" w:rsidR="005E5FAF" w:rsidRDefault="005E5FAF">
            <w:pPr>
              <w:spacing w:after="0" w:line="240" w:lineRule="auto"/>
            </w:pPr>
            <w:r w:rsidRPr="005E5FAF">
              <w:t xml:space="preserve">An additional OID or URL is needed to </w:t>
            </w:r>
            <w:r w:rsidR="009E32AA">
              <w:t>identify the authoritative source for UDI generation within the jurisdiction</w:t>
            </w:r>
            <w:r w:rsidRPr="005E5FAF">
              <w:t xml:space="preserve">.  All UDIs are globally unique within a single namespace.  However, for ease of implementation, separate OIDs and URIs are provided for each managing jurisdiction.  This allows a recipient of a UDI to know which database will contain the UDI-associated </w:t>
            </w:r>
            <w:r w:rsidRPr="005E5FAF">
              <w:lastRenderedPageBreak/>
              <w:t>metadata.  For UDIs of devices managed in the U.S. by the FDA, the values are: 2.16.840.1.113883.3.3719 or http://hl7.org/fhir/NamingSystem/fda-udi</w:t>
            </w:r>
          </w:p>
          <w:p w14:paraId="1501ECD8" w14:textId="77777777" w:rsidR="00BF6821" w:rsidRDefault="00BF6821">
            <w:pPr>
              <w:spacing w:after="0" w:line="240" w:lineRule="auto"/>
              <w:rPr>
                <w:rFonts w:eastAsia="Times New Roman"/>
                <w:lang w:val="en-US" w:eastAsia="en-CA"/>
              </w:rPr>
            </w:pPr>
          </w:p>
          <w:p w14:paraId="09129534" w14:textId="3848FAD9" w:rsidR="00737B53" w:rsidRPr="00D56F9F" w:rsidRDefault="00BF6821" w:rsidP="00161522">
            <w:pPr>
              <w:spacing w:after="0" w:line="240" w:lineRule="auto"/>
            </w:pPr>
            <w:r>
              <w:rPr>
                <w:rFonts w:eastAsia="Times New Roman"/>
                <w:lang w:val="en-US" w:eastAsia="en-CA"/>
              </w:rPr>
              <w:t xml:space="preserve">Note: Recognizing a UDI as being assigned by the FDA as opposed to another issuing authority cannot be done by merely looking at the UDI </w:t>
            </w:r>
            <w:r w:rsidR="004C47A1">
              <w:rPr>
                <w:rFonts w:eastAsia="Times New Roman"/>
                <w:lang w:val="en-US" w:eastAsia="en-CA"/>
              </w:rPr>
              <w:t>carrier</w:t>
            </w:r>
            <w:r>
              <w:rPr>
                <w:rFonts w:eastAsia="Times New Roman"/>
                <w:lang w:val="en-US" w:eastAsia="en-CA"/>
              </w:rPr>
              <w:t xml:space="preserve">.  </w:t>
            </w:r>
            <w:r w:rsidR="00161522">
              <w:rPr>
                <w:rFonts w:eastAsia="Times New Roman"/>
                <w:lang w:val="en-US" w:eastAsia="en-CA"/>
              </w:rPr>
              <w:t>Typically a jurisdictional OID or URL will be used with the UDI carrier which corresponds to the jurisdiction and UDI repository.</w:t>
            </w:r>
            <w:r w:rsidR="00AB4463">
              <w:rPr>
                <w:rFonts w:eastAsia="Times New Roman"/>
                <w:lang w:val="en-US" w:eastAsia="en-CA"/>
              </w:rPr>
              <w:t xml:space="preserve"> For example:</w:t>
            </w:r>
            <w:r w:rsidR="00161522">
              <w:rPr>
                <w:rFonts w:eastAsia="Times New Roman"/>
                <w:lang w:val="en-US" w:eastAsia="en-CA"/>
              </w:rPr>
              <w:t xml:space="preserve">  products with UDIs provided in the US will use the FDA UDI OID or </w:t>
            </w:r>
            <w:r w:rsidR="00CE3C1C">
              <w:rPr>
                <w:rFonts w:eastAsia="Times New Roman"/>
                <w:lang w:val="en-US" w:eastAsia="en-CA"/>
              </w:rPr>
              <w:t>URL and will have their D</w:t>
            </w:r>
            <w:r w:rsidR="00AB4463">
              <w:rPr>
                <w:rFonts w:eastAsia="Times New Roman"/>
                <w:lang w:val="en-US" w:eastAsia="en-CA"/>
              </w:rPr>
              <w:t>I</w:t>
            </w:r>
            <w:r w:rsidR="00CE3C1C">
              <w:rPr>
                <w:rFonts w:eastAsia="Times New Roman"/>
                <w:lang w:val="en-US" w:eastAsia="en-CA"/>
              </w:rPr>
              <w:t>s registered in the GUDID database.</w:t>
            </w:r>
          </w:p>
        </w:tc>
      </w:tr>
      <w:tr w:rsidR="00E84882" w:rsidRPr="00D56F9F" w14:paraId="13E06518" w14:textId="77777777" w:rsidTr="00D56F9F">
        <w:tc>
          <w:tcPr>
            <w:tcW w:w="11016" w:type="dxa"/>
            <w:gridSpan w:val="5"/>
            <w:tcBorders>
              <w:bottom w:val="single" w:sz="4" w:space="0" w:color="auto"/>
            </w:tcBorders>
            <w:shd w:val="clear" w:color="auto" w:fill="EEECE1"/>
          </w:tcPr>
          <w:p w14:paraId="00C154D7" w14:textId="77777777" w:rsidR="00E7514D" w:rsidRPr="00D56F9F" w:rsidRDefault="00D44035" w:rsidP="00D56F9F">
            <w:pPr>
              <w:spacing w:after="0" w:line="240" w:lineRule="auto"/>
              <w:jc w:val="center"/>
              <w:rPr>
                <w:b/>
              </w:rPr>
            </w:pPr>
            <w:r w:rsidRPr="00D56F9F">
              <w:rPr>
                <w:b/>
              </w:rPr>
              <w:lastRenderedPageBreak/>
              <w:t>Elements Contained Within A UDI</w:t>
            </w:r>
          </w:p>
        </w:tc>
      </w:tr>
      <w:tr w:rsidR="00A05E4F" w:rsidRPr="00D56F9F" w14:paraId="0D0B4043" w14:textId="77777777" w:rsidTr="003527B3">
        <w:tc>
          <w:tcPr>
            <w:tcW w:w="1749" w:type="dxa"/>
            <w:shd w:val="clear" w:color="auto" w:fill="auto"/>
          </w:tcPr>
          <w:p w14:paraId="22930AE9" w14:textId="1B5846CB" w:rsidR="00737B53" w:rsidRPr="00D56F9F" w:rsidRDefault="007B60DB" w:rsidP="00D56F9F">
            <w:pPr>
              <w:spacing w:after="0" w:line="240" w:lineRule="auto"/>
            </w:pPr>
            <w:r w:rsidRPr="00D56F9F">
              <w:t>D</w:t>
            </w:r>
            <w:r w:rsidR="00737B53" w:rsidRPr="00D56F9F">
              <w:t>i</w:t>
            </w:r>
          </w:p>
        </w:tc>
        <w:tc>
          <w:tcPr>
            <w:tcW w:w="1657" w:type="dxa"/>
            <w:shd w:val="clear" w:color="auto" w:fill="auto"/>
          </w:tcPr>
          <w:p w14:paraId="7E164CAB" w14:textId="77777777" w:rsidR="00737B53" w:rsidRPr="00D56F9F" w:rsidRDefault="00737B53" w:rsidP="00D56F9F">
            <w:pPr>
              <w:spacing w:after="0" w:line="240" w:lineRule="auto"/>
            </w:pPr>
            <w:r w:rsidRPr="00D56F9F">
              <w:t>Device Identifier</w:t>
            </w:r>
          </w:p>
        </w:tc>
        <w:tc>
          <w:tcPr>
            <w:tcW w:w="1584" w:type="dxa"/>
            <w:shd w:val="clear" w:color="auto" w:fill="auto"/>
          </w:tcPr>
          <w:p w14:paraId="38883146" w14:textId="77777777" w:rsidR="00737B53" w:rsidRPr="00D56F9F" w:rsidRDefault="00EC23C9" w:rsidP="00D56F9F">
            <w:pPr>
              <w:spacing w:after="0" w:line="240" w:lineRule="auto"/>
            </w:pPr>
            <w:r>
              <w:t>Code</w:t>
            </w:r>
          </w:p>
        </w:tc>
        <w:tc>
          <w:tcPr>
            <w:tcW w:w="1253" w:type="dxa"/>
            <w:shd w:val="clear" w:color="auto" w:fill="auto"/>
          </w:tcPr>
          <w:p w14:paraId="5BD710F0" w14:textId="77777777" w:rsidR="00737B53" w:rsidRPr="00D56F9F" w:rsidRDefault="00E84882" w:rsidP="00D56F9F">
            <w:pPr>
              <w:spacing w:after="0" w:line="240" w:lineRule="auto"/>
            </w:pPr>
            <w:r w:rsidRPr="00D56F9F">
              <w:t>1</w:t>
            </w:r>
            <w:r w:rsidR="00737B53" w:rsidRPr="00D56F9F">
              <w:t>..1</w:t>
            </w:r>
          </w:p>
        </w:tc>
        <w:tc>
          <w:tcPr>
            <w:tcW w:w="4773" w:type="dxa"/>
            <w:shd w:val="clear" w:color="auto" w:fill="auto"/>
          </w:tcPr>
          <w:p w14:paraId="7A5E60FF" w14:textId="7F6AE7DD" w:rsidR="00B62FA4" w:rsidRDefault="00737B53">
            <w:pPr>
              <w:spacing w:after="0" w:line="240" w:lineRule="auto"/>
            </w:pPr>
            <w:r w:rsidRPr="00D56F9F">
              <w:t xml:space="preserve">The value is a string.  </w:t>
            </w:r>
            <w:r w:rsidR="00A300E9">
              <w:t xml:space="preserve">This is the actual identification component.  </w:t>
            </w:r>
            <w:r w:rsidRPr="00D56F9F">
              <w:t xml:space="preserve">Issuer OIDs </w:t>
            </w:r>
            <w:r w:rsidR="00A300E9">
              <w:t xml:space="preserve">and URLs </w:t>
            </w:r>
            <w:r w:rsidRPr="00D56F9F">
              <w:t>are available to identify which Device Identifier system</w:t>
            </w:r>
            <w:r w:rsidR="00A300E9">
              <w:t xml:space="preserve"> makes the identifier globally unique</w:t>
            </w:r>
            <w:r w:rsidRPr="00D56F9F">
              <w:t>.</w:t>
            </w:r>
          </w:p>
          <w:p w14:paraId="1C4F5BBE" w14:textId="7E04790D" w:rsidR="00B62FA4" w:rsidRDefault="007048D3">
            <w:pPr>
              <w:spacing w:after="0" w:line="240" w:lineRule="auto"/>
            </w:pPr>
            <w:r>
              <w:t xml:space="preserve">The current </w:t>
            </w:r>
            <w:r w:rsidR="00F67120">
              <w:t>OIDs</w:t>
            </w:r>
            <w:r w:rsidR="00B62FA4">
              <w:t xml:space="preserve"> are:</w:t>
            </w:r>
          </w:p>
          <w:p w14:paraId="6C877A6D" w14:textId="2312079F" w:rsidR="00F67120" w:rsidRDefault="00F67120" w:rsidP="00F67120">
            <w:pPr>
              <w:spacing w:after="0"/>
            </w:pPr>
            <w:r>
              <w:t xml:space="preserve">GS1 DIs: </w:t>
            </w:r>
            <w:r>
              <w:tab/>
            </w:r>
            <w:r w:rsidRPr="00CF0C32">
              <w:t>2.51.1.1</w:t>
            </w:r>
          </w:p>
          <w:p w14:paraId="2470A388" w14:textId="05BB1E14" w:rsidR="00F67120" w:rsidRDefault="00F67120" w:rsidP="00F67120">
            <w:pPr>
              <w:spacing w:after="0"/>
            </w:pPr>
            <w:r>
              <w:t>HIBCC DIs:</w:t>
            </w:r>
            <w:r>
              <w:tab/>
            </w:r>
            <w:r w:rsidRPr="00E91E41">
              <w:t>1.0.15961.10.816</w:t>
            </w:r>
          </w:p>
          <w:p w14:paraId="29E0D703" w14:textId="49B548CF" w:rsidR="00F67120" w:rsidRDefault="00F67120" w:rsidP="00F67120">
            <w:pPr>
              <w:spacing w:after="0"/>
            </w:pPr>
            <w:r>
              <w:t>ICCBBA DIs for blood containers:</w:t>
            </w:r>
            <w:r>
              <w:br/>
            </w:r>
            <w:r>
              <w:tab/>
              <w:t>2.16.840.1.113883.6.18.1.17</w:t>
            </w:r>
          </w:p>
          <w:p w14:paraId="103E5CAB" w14:textId="44A64D30" w:rsidR="00F67120" w:rsidRDefault="00F67120" w:rsidP="00F67120">
            <w:pPr>
              <w:spacing w:after="0"/>
            </w:pPr>
            <w:r>
              <w:t>ICCB</w:t>
            </w:r>
            <w:r w:rsidR="00616F0D">
              <w:t>B</w:t>
            </w:r>
            <w:r>
              <w:t>A DIs for other devices:</w:t>
            </w:r>
            <w:bookmarkStart w:id="0" w:name="_GoBack"/>
            <w:bookmarkEnd w:id="0"/>
            <w:r>
              <w:br/>
            </w:r>
            <w:r>
              <w:tab/>
            </w:r>
            <w:r w:rsidRPr="00CF0C32">
              <w:t>2.16.840.1.113883.6.18.1.34</w:t>
            </w:r>
          </w:p>
          <w:p w14:paraId="4BF45836" w14:textId="77E8DD8A" w:rsidR="00F67120" w:rsidRDefault="00F67120" w:rsidP="00F67120">
            <w:pPr>
              <w:spacing w:after="0"/>
            </w:pPr>
          </w:p>
          <w:p w14:paraId="3B87F3BD" w14:textId="09C47B26" w:rsidR="00F67120" w:rsidRDefault="00F67120" w:rsidP="00F67120">
            <w:pPr>
              <w:spacing w:after="0"/>
            </w:pPr>
            <w:r>
              <w:t>Possible URIs are:</w:t>
            </w:r>
            <w:r w:rsidR="00CA27BF">
              <w:t xml:space="preserve"> </w:t>
            </w:r>
            <w:r w:rsidR="00CA27BF" w:rsidRPr="00CA27BF">
              <w:rPr>
                <w:highlight w:val="yellow"/>
              </w:rPr>
              <w:t>To be confirmed</w:t>
            </w:r>
          </w:p>
          <w:p w14:paraId="453DA0FE" w14:textId="0A677FC0" w:rsidR="00F67120" w:rsidRDefault="00F67120" w:rsidP="00F67120">
            <w:pPr>
              <w:spacing w:after="0"/>
            </w:pPr>
            <w:r>
              <w:t xml:space="preserve">GS1 DIs: </w:t>
            </w:r>
            <w:r>
              <w:br/>
            </w:r>
            <w:r>
              <w:tab/>
              <w:t>http://hl7.org/fhir/NamingSystem/gs1-di</w:t>
            </w:r>
          </w:p>
          <w:p w14:paraId="7869CABD" w14:textId="6FDD8C4E" w:rsidR="00F67120" w:rsidRDefault="00F67120" w:rsidP="00F67120">
            <w:pPr>
              <w:spacing w:after="0"/>
            </w:pPr>
            <w:r>
              <w:t>HIBCC DIs:</w:t>
            </w:r>
            <w:r>
              <w:br/>
            </w:r>
            <w:r>
              <w:tab/>
              <w:t>http://hl7.org/fhir/NamingSystem/hibcc-di</w:t>
            </w:r>
          </w:p>
          <w:p w14:paraId="2027193D" w14:textId="2263C79F" w:rsidR="00F67120" w:rsidRDefault="00F67120" w:rsidP="00F67120">
            <w:pPr>
              <w:spacing w:after="0"/>
            </w:pPr>
            <w:r>
              <w:t>ICCBBA DIs for blood containers:</w:t>
            </w:r>
            <w:r>
              <w:br/>
            </w:r>
            <w:r>
              <w:tab/>
              <w:t>http://hl7.org/fhir/NamingSystem/iccbba-blood-di</w:t>
            </w:r>
          </w:p>
          <w:p w14:paraId="64B19E1A" w14:textId="5F10CC7B" w:rsidR="00737B53" w:rsidRPr="00D56F9F" w:rsidRDefault="00F67120" w:rsidP="00BF6821">
            <w:pPr>
              <w:spacing w:after="0"/>
            </w:pPr>
            <w:r>
              <w:t>ICCBA DIs for other devices:</w:t>
            </w:r>
            <w:r>
              <w:br/>
            </w:r>
            <w:r>
              <w:tab/>
            </w:r>
            <w:hyperlink r:id="rId8" w:history="1">
              <w:r w:rsidR="003527B3" w:rsidRPr="0001214D">
                <w:rPr>
                  <w:rStyle w:val="Hyperlink"/>
                </w:rPr>
                <w:t>http://hl7.org/fhir/NamingSystem/iccbba-other-di</w:t>
              </w:r>
            </w:hyperlink>
          </w:p>
        </w:tc>
      </w:tr>
      <w:tr w:rsidR="00A05E4F" w:rsidRPr="00D56F9F" w14:paraId="205033FB" w14:textId="77777777" w:rsidTr="003527B3">
        <w:tc>
          <w:tcPr>
            <w:tcW w:w="1749" w:type="dxa"/>
            <w:shd w:val="clear" w:color="auto" w:fill="auto"/>
          </w:tcPr>
          <w:p w14:paraId="03AD04A3" w14:textId="3FEBE325" w:rsidR="00737B53" w:rsidRPr="00D56F9F" w:rsidRDefault="007B60DB" w:rsidP="00D56F9F">
            <w:pPr>
              <w:spacing w:after="0" w:line="240" w:lineRule="auto"/>
            </w:pPr>
            <w:r w:rsidRPr="00D56F9F">
              <w:t>M</w:t>
            </w:r>
            <w:r w:rsidR="00737B53" w:rsidRPr="00D56F9F">
              <w:t>anufacture</w:t>
            </w:r>
          </w:p>
        </w:tc>
        <w:tc>
          <w:tcPr>
            <w:tcW w:w="1657" w:type="dxa"/>
            <w:shd w:val="clear" w:color="auto" w:fill="auto"/>
          </w:tcPr>
          <w:p w14:paraId="1F97A0D5" w14:textId="77777777" w:rsidR="00737B53" w:rsidRPr="00D56F9F" w:rsidRDefault="00E84882" w:rsidP="00D56F9F">
            <w:pPr>
              <w:spacing w:after="0" w:line="240" w:lineRule="auto"/>
            </w:pPr>
            <w:r w:rsidRPr="00D56F9F">
              <w:t>M</w:t>
            </w:r>
            <w:r w:rsidR="00737B53" w:rsidRPr="00D56F9F">
              <w:t>anufacture</w:t>
            </w:r>
            <w:r w:rsidRPr="00D56F9F">
              <w:t xml:space="preserve"> Date</w:t>
            </w:r>
          </w:p>
        </w:tc>
        <w:tc>
          <w:tcPr>
            <w:tcW w:w="1584" w:type="dxa"/>
            <w:shd w:val="clear" w:color="auto" w:fill="auto"/>
          </w:tcPr>
          <w:p w14:paraId="1701C706" w14:textId="77777777" w:rsidR="00737B53" w:rsidRPr="00D56F9F" w:rsidRDefault="003C17B0" w:rsidP="00D56F9F">
            <w:pPr>
              <w:spacing w:after="0" w:line="240" w:lineRule="auto"/>
            </w:pPr>
            <w:r w:rsidRPr="00D56F9F">
              <w:t>Times</w:t>
            </w:r>
            <w:r w:rsidR="00E84882" w:rsidRPr="00D56F9F">
              <w:t>tamp</w:t>
            </w:r>
          </w:p>
        </w:tc>
        <w:tc>
          <w:tcPr>
            <w:tcW w:w="1253" w:type="dxa"/>
            <w:shd w:val="clear" w:color="auto" w:fill="auto"/>
          </w:tcPr>
          <w:p w14:paraId="3A3CFB22" w14:textId="77777777" w:rsidR="00737B53" w:rsidRPr="00D56F9F" w:rsidRDefault="00737B53" w:rsidP="00D56F9F">
            <w:pPr>
              <w:spacing w:after="0" w:line="240" w:lineRule="auto"/>
            </w:pPr>
            <w:r w:rsidRPr="00D56F9F">
              <w:t>0..1</w:t>
            </w:r>
          </w:p>
        </w:tc>
        <w:tc>
          <w:tcPr>
            <w:tcW w:w="4773" w:type="dxa"/>
            <w:shd w:val="clear" w:color="auto" w:fill="auto"/>
          </w:tcPr>
          <w:p w14:paraId="0327015E" w14:textId="2105F23B" w:rsidR="00737B53" w:rsidRDefault="00E84882" w:rsidP="00D56F9F">
            <w:pPr>
              <w:spacing w:after="0" w:line="240" w:lineRule="auto"/>
            </w:pPr>
            <w:r w:rsidRPr="00D56F9F">
              <w:t>The value is an Issuer</w:t>
            </w:r>
            <w:r w:rsidR="00A300E9">
              <w:t>-</w:t>
            </w:r>
            <w:r w:rsidRPr="00D56F9F">
              <w:t>specific string containing the date, often without century, and optionally with the hour.</w:t>
            </w:r>
          </w:p>
          <w:p w14:paraId="507B2BE8" w14:textId="54F98CE5" w:rsidR="004113B2" w:rsidRPr="00D56F9F" w:rsidRDefault="007048D3" w:rsidP="003128F4">
            <w:pPr>
              <w:spacing w:after="0" w:line="240" w:lineRule="auto"/>
            </w:pPr>
            <w:r>
              <w:t xml:space="preserve">The date must be converted to a full date string </w:t>
            </w:r>
            <w:r w:rsidR="003128F4">
              <w:t xml:space="preserve">(possibly </w:t>
            </w:r>
            <w:r>
              <w:t>with hour</w:t>
            </w:r>
            <w:r w:rsidR="003128F4">
              <w:t>)</w:t>
            </w:r>
            <w:r>
              <w:t xml:space="preserve"> </w:t>
            </w:r>
            <w:r w:rsidR="003128F4">
              <w:t xml:space="preserve">based on </w:t>
            </w:r>
            <w:r>
              <w:t>Issuer</w:t>
            </w:r>
            <w:r w:rsidR="003128F4">
              <w:t>-specific rules</w:t>
            </w:r>
            <w:r>
              <w:t>.</w:t>
            </w:r>
          </w:p>
        </w:tc>
      </w:tr>
      <w:tr w:rsidR="00A05E4F" w:rsidRPr="00D56F9F" w14:paraId="52899D6E" w14:textId="77777777" w:rsidTr="003527B3">
        <w:tc>
          <w:tcPr>
            <w:tcW w:w="1749" w:type="dxa"/>
            <w:shd w:val="clear" w:color="auto" w:fill="auto"/>
          </w:tcPr>
          <w:p w14:paraId="3FE6EFB6" w14:textId="5EA7B24D" w:rsidR="00E84882" w:rsidRPr="00D56F9F" w:rsidRDefault="007B60DB" w:rsidP="00D56F9F">
            <w:pPr>
              <w:spacing w:after="0" w:line="240" w:lineRule="auto"/>
            </w:pPr>
            <w:r w:rsidRPr="00D56F9F">
              <w:t>E</w:t>
            </w:r>
            <w:r w:rsidR="00E84882" w:rsidRPr="00D56F9F">
              <w:t>xpiration</w:t>
            </w:r>
          </w:p>
        </w:tc>
        <w:tc>
          <w:tcPr>
            <w:tcW w:w="1657" w:type="dxa"/>
            <w:shd w:val="clear" w:color="auto" w:fill="auto"/>
          </w:tcPr>
          <w:p w14:paraId="1986F68E" w14:textId="62CC2701" w:rsidR="00E84882" w:rsidRPr="00D56F9F" w:rsidRDefault="00E84882" w:rsidP="00D56F9F">
            <w:pPr>
              <w:spacing w:after="0" w:line="240" w:lineRule="auto"/>
            </w:pPr>
            <w:r w:rsidRPr="00D56F9F">
              <w:t>Expir</w:t>
            </w:r>
            <w:r w:rsidR="003D70BA">
              <w:t>ation</w:t>
            </w:r>
            <w:r w:rsidRPr="00D56F9F">
              <w:t xml:space="preserve"> Date</w:t>
            </w:r>
          </w:p>
        </w:tc>
        <w:tc>
          <w:tcPr>
            <w:tcW w:w="1584" w:type="dxa"/>
            <w:shd w:val="clear" w:color="auto" w:fill="auto"/>
          </w:tcPr>
          <w:p w14:paraId="69AD6C77" w14:textId="77777777" w:rsidR="00E84882" w:rsidRPr="00D56F9F" w:rsidRDefault="003C17B0" w:rsidP="00D56F9F">
            <w:pPr>
              <w:spacing w:after="0" w:line="240" w:lineRule="auto"/>
            </w:pPr>
            <w:r w:rsidRPr="00D56F9F">
              <w:t>Times</w:t>
            </w:r>
            <w:r w:rsidR="00E84882" w:rsidRPr="00D56F9F">
              <w:t>tamp</w:t>
            </w:r>
          </w:p>
        </w:tc>
        <w:tc>
          <w:tcPr>
            <w:tcW w:w="1253" w:type="dxa"/>
            <w:shd w:val="clear" w:color="auto" w:fill="auto"/>
          </w:tcPr>
          <w:p w14:paraId="3D270AFD" w14:textId="77777777" w:rsidR="00E84882" w:rsidRPr="00D56F9F" w:rsidRDefault="00E84882" w:rsidP="00D56F9F">
            <w:pPr>
              <w:spacing w:after="0" w:line="240" w:lineRule="auto"/>
            </w:pPr>
            <w:r w:rsidRPr="00D56F9F">
              <w:t>0..1</w:t>
            </w:r>
          </w:p>
        </w:tc>
        <w:tc>
          <w:tcPr>
            <w:tcW w:w="4773" w:type="dxa"/>
            <w:shd w:val="clear" w:color="auto" w:fill="auto"/>
          </w:tcPr>
          <w:p w14:paraId="73D34F16" w14:textId="7C2A9400" w:rsidR="00E84882" w:rsidRDefault="00E84882" w:rsidP="00D56F9F">
            <w:pPr>
              <w:spacing w:after="0" w:line="240" w:lineRule="auto"/>
            </w:pPr>
            <w:r w:rsidRPr="00D56F9F">
              <w:t>The value is an Issuer</w:t>
            </w:r>
            <w:r w:rsidR="00A05E4F">
              <w:t>-</w:t>
            </w:r>
            <w:r w:rsidRPr="00D56F9F">
              <w:t>specific string containing the date, often without century, and optionally with the hour.</w:t>
            </w:r>
          </w:p>
          <w:p w14:paraId="1DDD6C1F" w14:textId="0C62FB46" w:rsidR="004113B2" w:rsidRPr="00D56F9F" w:rsidRDefault="003128F4" w:rsidP="00D56F9F">
            <w:pPr>
              <w:spacing w:after="0" w:line="240" w:lineRule="auto"/>
            </w:pPr>
            <w:r>
              <w:t>The date must be converted to a full date string (possibly with hour) based on Issuer-specific rules.</w:t>
            </w:r>
          </w:p>
        </w:tc>
      </w:tr>
      <w:tr w:rsidR="00A05E4F" w:rsidRPr="00D56F9F" w14:paraId="2BB4309F" w14:textId="77777777" w:rsidTr="003527B3">
        <w:tc>
          <w:tcPr>
            <w:tcW w:w="1749" w:type="dxa"/>
            <w:shd w:val="clear" w:color="auto" w:fill="auto"/>
          </w:tcPr>
          <w:p w14:paraId="04695956" w14:textId="03C56896" w:rsidR="00E84882" w:rsidRPr="00D56F9F" w:rsidRDefault="007B60DB" w:rsidP="00D56F9F">
            <w:pPr>
              <w:spacing w:after="0" w:line="240" w:lineRule="auto"/>
            </w:pPr>
            <w:r w:rsidRPr="00D56F9F">
              <w:t>L</w:t>
            </w:r>
            <w:r w:rsidR="00E84882" w:rsidRPr="00D56F9F">
              <w:t>ot</w:t>
            </w:r>
          </w:p>
        </w:tc>
        <w:tc>
          <w:tcPr>
            <w:tcW w:w="1657" w:type="dxa"/>
            <w:shd w:val="clear" w:color="auto" w:fill="auto"/>
          </w:tcPr>
          <w:p w14:paraId="5894D996" w14:textId="77777777" w:rsidR="00E84882" w:rsidRPr="00D56F9F" w:rsidRDefault="00E84882" w:rsidP="00D56F9F">
            <w:pPr>
              <w:spacing w:after="0" w:line="240" w:lineRule="auto"/>
            </w:pPr>
            <w:r w:rsidRPr="00D56F9F">
              <w:t>Lot Number</w:t>
            </w:r>
          </w:p>
        </w:tc>
        <w:tc>
          <w:tcPr>
            <w:tcW w:w="1584" w:type="dxa"/>
            <w:shd w:val="clear" w:color="auto" w:fill="auto"/>
          </w:tcPr>
          <w:p w14:paraId="616C22D0" w14:textId="77777777" w:rsidR="00E84882" w:rsidRPr="00D56F9F" w:rsidRDefault="00E84882" w:rsidP="00D56F9F">
            <w:pPr>
              <w:spacing w:after="0" w:line="240" w:lineRule="auto"/>
            </w:pPr>
            <w:r w:rsidRPr="00D56F9F">
              <w:t>String</w:t>
            </w:r>
          </w:p>
        </w:tc>
        <w:tc>
          <w:tcPr>
            <w:tcW w:w="1253" w:type="dxa"/>
            <w:shd w:val="clear" w:color="auto" w:fill="auto"/>
          </w:tcPr>
          <w:p w14:paraId="0C805ECE" w14:textId="77777777" w:rsidR="00E84882" w:rsidRPr="00D56F9F" w:rsidRDefault="00E84882" w:rsidP="00D56F9F">
            <w:pPr>
              <w:spacing w:after="0" w:line="240" w:lineRule="auto"/>
            </w:pPr>
            <w:r w:rsidRPr="00D56F9F">
              <w:t>0..1</w:t>
            </w:r>
          </w:p>
        </w:tc>
        <w:tc>
          <w:tcPr>
            <w:tcW w:w="4773" w:type="dxa"/>
            <w:shd w:val="clear" w:color="auto" w:fill="auto"/>
          </w:tcPr>
          <w:p w14:paraId="33C1C520" w14:textId="470928B1" w:rsidR="00E84882" w:rsidRPr="00D56F9F" w:rsidRDefault="00E84882" w:rsidP="00AE4A5C">
            <w:pPr>
              <w:spacing w:after="0" w:line="240" w:lineRule="auto"/>
            </w:pPr>
            <w:r w:rsidRPr="00D56F9F">
              <w:t xml:space="preserve">The value is a </w:t>
            </w:r>
            <w:r w:rsidR="0085484B" w:rsidRPr="00D56F9F">
              <w:t>string</w:t>
            </w:r>
            <w:r w:rsidRPr="00D56F9F">
              <w:t>.</w:t>
            </w:r>
          </w:p>
        </w:tc>
      </w:tr>
      <w:tr w:rsidR="00A05E4F" w:rsidRPr="00D56F9F" w14:paraId="7C305DC3" w14:textId="77777777" w:rsidTr="003527B3">
        <w:tc>
          <w:tcPr>
            <w:tcW w:w="1749" w:type="dxa"/>
            <w:shd w:val="clear" w:color="auto" w:fill="auto"/>
          </w:tcPr>
          <w:p w14:paraId="3ABA0EFE" w14:textId="7BD2983C" w:rsidR="00E84882" w:rsidRPr="00D56F9F" w:rsidRDefault="007B60DB" w:rsidP="00D56F9F">
            <w:pPr>
              <w:spacing w:after="0" w:line="240" w:lineRule="auto"/>
            </w:pPr>
            <w:r w:rsidRPr="00D56F9F">
              <w:lastRenderedPageBreak/>
              <w:t>S</w:t>
            </w:r>
            <w:r w:rsidR="00E84882" w:rsidRPr="00D56F9F">
              <w:t>erial</w:t>
            </w:r>
          </w:p>
        </w:tc>
        <w:tc>
          <w:tcPr>
            <w:tcW w:w="1657" w:type="dxa"/>
            <w:shd w:val="clear" w:color="auto" w:fill="auto"/>
          </w:tcPr>
          <w:p w14:paraId="0EDDE7D7" w14:textId="77777777" w:rsidR="00E84882" w:rsidRPr="00D56F9F" w:rsidRDefault="00E84882" w:rsidP="00D56F9F">
            <w:pPr>
              <w:spacing w:after="0" w:line="240" w:lineRule="auto"/>
            </w:pPr>
            <w:r w:rsidRPr="00D56F9F">
              <w:t>Serial Number</w:t>
            </w:r>
          </w:p>
        </w:tc>
        <w:tc>
          <w:tcPr>
            <w:tcW w:w="1584" w:type="dxa"/>
            <w:shd w:val="clear" w:color="auto" w:fill="auto"/>
          </w:tcPr>
          <w:p w14:paraId="7213D41B" w14:textId="77777777" w:rsidR="00E84882" w:rsidRPr="00D56F9F" w:rsidRDefault="00E84882" w:rsidP="00D56F9F">
            <w:pPr>
              <w:spacing w:after="0" w:line="240" w:lineRule="auto"/>
            </w:pPr>
            <w:r w:rsidRPr="00D56F9F">
              <w:t>String</w:t>
            </w:r>
          </w:p>
        </w:tc>
        <w:tc>
          <w:tcPr>
            <w:tcW w:w="1253" w:type="dxa"/>
            <w:shd w:val="clear" w:color="auto" w:fill="auto"/>
          </w:tcPr>
          <w:p w14:paraId="7DBD0811" w14:textId="77777777" w:rsidR="00E84882" w:rsidRPr="00D56F9F" w:rsidRDefault="00E84882" w:rsidP="00D56F9F">
            <w:pPr>
              <w:spacing w:after="0" w:line="240" w:lineRule="auto"/>
            </w:pPr>
            <w:r w:rsidRPr="00D56F9F">
              <w:t>0..1</w:t>
            </w:r>
          </w:p>
        </w:tc>
        <w:tc>
          <w:tcPr>
            <w:tcW w:w="4773" w:type="dxa"/>
            <w:shd w:val="clear" w:color="auto" w:fill="auto"/>
          </w:tcPr>
          <w:p w14:paraId="57EB628B" w14:textId="32F94C00" w:rsidR="00E84882" w:rsidRPr="00D56F9F" w:rsidRDefault="00E84882" w:rsidP="00AE4A5C">
            <w:pPr>
              <w:spacing w:after="0" w:line="240" w:lineRule="auto"/>
            </w:pPr>
            <w:r w:rsidRPr="00D56F9F">
              <w:t xml:space="preserve">The value is a </w:t>
            </w:r>
            <w:r w:rsidR="0085484B" w:rsidRPr="00D56F9F">
              <w:t>string</w:t>
            </w:r>
            <w:r w:rsidRPr="00D56F9F">
              <w:t>.</w:t>
            </w:r>
          </w:p>
        </w:tc>
      </w:tr>
      <w:tr w:rsidR="00A05E4F" w:rsidRPr="00D56F9F" w14:paraId="252CA4D2" w14:textId="77777777" w:rsidTr="003527B3">
        <w:tc>
          <w:tcPr>
            <w:tcW w:w="1749" w:type="dxa"/>
            <w:shd w:val="clear" w:color="auto" w:fill="auto"/>
          </w:tcPr>
          <w:p w14:paraId="07F82AFA" w14:textId="4D0138D7" w:rsidR="003D70BA" w:rsidRDefault="00E21ED6" w:rsidP="00D56F9F">
            <w:pPr>
              <w:spacing w:after="0" w:line="240" w:lineRule="auto"/>
            </w:pPr>
            <w:r>
              <w:t>DIN</w:t>
            </w:r>
          </w:p>
          <w:p w14:paraId="3DE9CB76" w14:textId="77777777" w:rsidR="003D70BA" w:rsidRDefault="003D70BA" w:rsidP="00D56F9F">
            <w:pPr>
              <w:spacing w:after="0" w:line="240" w:lineRule="auto"/>
            </w:pPr>
          </w:p>
          <w:p w14:paraId="4D2F4DA0" w14:textId="77777777" w:rsidR="003D70BA" w:rsidRDefault="003D70BA" w:rsidP="00D56F9F">
            <w:pPr>
              <w:spacing w:after="0" w:line="240" w:lineRule="auto"/>
            </w:pPr>
          </w:p>
          <w:p w14:paraId="68AA2859" w14:textId="18246533" w:rsidR="003D70BA" w:rsidRDefault="003D70BA" w:rsidP="00D56F9F">
            <w:pPr>
              <w:spacing w:after="0" w:line="240" w:lineRule="auto"/>
            </w:pPr>
            <w:r>
              <w:t>Also known as</w:t>
            </w:r>
          </w:p>
          <w:p w14:paraId="6689F7ED" w14:textId="4E8024CD" w:rsidR="00E84882" w:rsidRPr="00D56F9F" w:rsidRDefault="003D70BA" w:rsidP="00D56F9F">
            <w:pPr>
              <w:spacing w:after="0" w:line="240" w:lineRule="auto"/>
            </w:pPr>
            <w:r>
              <w:t>DIC</w:t>
            </w:r>
          </w:p>
        </w:tc>
        <w:tc>
          <w:tcPr>
            <w:tcW w:w="1657" w:type="dxa"/>
            <w:shd w:val="clear" w:color="auto" w:fill="auto"/>
          </w:tcPr>
          <w:p w14:paraId="474B270D" w14:textId="77777777" w:rsidR="00E84882" w:rsidRDefault="00E84882" w:rsidP="00D56F9F">
            <w:pPr>
              <w:spacing w:after="0" w:line="240" w:lineRule="auto"/>
            </w:pPr>
            <w:r w:rsidRPr="00D56F9F">
              <w:t>Donation Identification Number</w:t>
            </w:r>
          </w:p>
          <w:p w14:paraId="2925E92D" w14:textId="77777777" w:rsidR="003D70BA" w:rsidRDefault="003D70BA" w:rsidP="00D56F9F">
            <w:pPr>
              <w:spacing w:after="0" w:line="240" w:lineRule="auto"/>
            </w:pPr>
          </w:p>
          <w:p w14:paraId="55F92320" w14:textId="2E6F39D1" w:rsidR="003D70BA" w:rsidRPr="00D56F9F" w:rsidRDefault="003D70BA" w:rsidP="00D56F9F">
            <w:pPr>
              <w:spacing w:after="0" w:line="240" w:lineRule="auto"/>
            </w:pPr>
            <w:r>
              <w:t>Distinct Identification Code</w:t>
            </w:r>
          </w:p>
        </w:tc>
        <w:tc>
          <w:tcPr>
            <w:tcW w:w="1584" w:type="dxa"/>
            <w:shd w:val="clear" w:color="auto" w:fill="auto"/>
          </w:tcPr>
          <w:p w14:paraId="51C56F45" w14:textId="77777777" w:rsidR="00E84882" w:rsidRPr="00D56F9F" w:rsidRDefault="00E84882" w:rsidP="00D56F9F">
            <w:pPr>
              <w:spacing w:after="0" w:line="240" w:lineRule="auto"/>
            </w:pPr>
            <w:r w:rsidRPr="00D56F9F">
              <w:t>Identifier</w:t>
            </w:r>
          </w:p>
        </w:tc>
        <w:tc>
          <w:tcPr>
            <w:tcW w:w="1253" w:type="dxa"/>
            <w:shd w:val="clear" w:color="auto" w:fill="auto"/>
          </w:tcPr>
          <w:p w14:paraId="1E4A9272" w14:textId="77777777" w:rsidR="00E84882" w:rsidRPr="00D56F9F" w:rsidRDefault="00E84882" w:rsidP="00D56F9F">
            <w:pPr>
              <w:spacing w:after="0" w:line="240" w:lineRule="auto"/>
            </w:pPr>
            <w:r w:rsidRPr="00D56F9F">
              <w:t>0..1</w:t>
            </w:r>
          </w:p>
        </w:tc>
        <w:tc>
          <w:tcPr>
            <w:tcW w:w="4773" w:type="dxa"/>
            <w:shd w:val="clear" w:color="auto" w:fill="auto"/>
          </w:tcPr>
          <w:p w14:paraId="6D5D226A" w14:textId="77777777" w:rsidR="00F67120" w:rsidRDefault="00E84882">
            <w:pPr>
              <w:spacing w:after="0" w:line="240" w:lineRule="auto"/>
            </w:pPr>
            <w:r w:rsidRPr="00D56F9F">
              <w:t>The value is a string.</w:t>
            </w:r>
          </w:p>
          <w:p w14:paraId="37E857DB" w14:textId="677F2D98" w:rsidR="00F67120" w:rsidRDefault="00F67120">
            <w:pPr>
              <w:spacing w:after="0" w:line="240" w:lineRule="auto"/>
            </w:pPr>
          </w:p>
          <w:p w14:paraId="15051389" w14:textId="016CA4AD" w:rsidR="00F67120" w:rsidRDefault="00F67120">
            <w:pPr>
              <w:spacing w:after="0" w:line="240" w:lineRule="auto"/>
            </w:pPr>
            <w:r>
              <w:t>If the content is from an ICCBBA-encoded UDI, the OID and URI for use are:</w:t>
            </w:r>
          </w:p>
          <w:p w14:paraId="6AC3438A" w14:textId="77777777" w:rsidR="00AE4A5C" w:rsidRDefault="00640946">
            <w:pPr>
              <w:spacing w:after="0" w:line="240" w:lineRule="auto"/>
            </w:pPr>
            <w:r>
              <w:t>2.16.840.1.113883.6.18.2.1 and http://hl7.org/fhir/NamingSystem/iccbba-din</w:t>
            </w:r>
          </w:p>
          <w:p w14:paraId="2DE0D3DE" w14:textId="085265F2" w:rsidR="00E7514D" w:rsidRPr="00D56F9F" w:rsidRDefault="00AE4A5C">
            <w:pPr>
              <w:spacing w:after="0" w:line="240" w:lineRule="auto"/>
            </w:pPr>
            <w:r>
              <w:t>GS1 and HIBCC formatted UDIs do not currently convey the DIN element.</w:t>
            </w:r>
          </w:p>
        </w:tc>
      </w:tr>
    </w:tbl>
    <w:p w14:paraId="3CBBD678" w14:textId="77777777" w:rsidR="00471527" w:rsidRDefault="00471527" w:rsidP="00580BD3">
      <w:pPr>
        <w:spacing w:after="0"/>
      </w:pPr>
    </w:p>
    <w:p w14:paraId="0D1F8CB1" w14:textId="000F0ED1" w:rsidR="00B10416" w:rsidRDefault="00B10416" w:rsidP="00580BD3">
      <w:pPr>
        <w:spacing w:after="0"/>
      </w:pPr>
      <w:r>
        <w:t>Note: the data type</w:t>
      </w:r>
      <w:r w:rsidR="00E80CDB">
        <w:t>s</w:t>
      </w:r>
      <w:r>
        <w:t xml:space="preserve"> used above and defined below are for illustration</w:t>
      </w:r>
      <w:r w:rsidR="00A05E4F">
        <w:t>,</w:t>
      </w:r>
      <w:r>
        <w:t xml:space="preserve"> not a requirement. </w:t>
      </w:r>
      <w:r w:rsidR="00A05E4F">
        <w:t>E</w:t>
      </w:r>
      <w:r>
        <w:t>ach HL7 standard family will use the data</w:t>
      </w:r>
      <w:r w:rsidR="00E80CDB">
        <w:t xml:space="preserve"> </w:t>
      </w:r>
      <w:r>
        <w:t>types specific</w:t>
      </w:r>
      <w:r w:rsidR="00E80CDB">
        <w:t xml:space="preserve"> and appropriate</w:t>
      </w:r>
      <w:r>
        <w:t xml:space="preserve"> to that family.</w:t>
      </w:r>
    </w:p>
    <w:p w14:paraId="5CB81A6D" w14:textId="3C3E5270" w:rsidR="00AE4A5C" w:rsidRDefault="00AE4A5C" w:rsidP="00580BD3">
      <w:pPr>
        <w:spacing w:after="0"/>
      </w:pPr>
    </w:p>
    <w:p w14:paraId="3DED7718" w14:textId="20E55F4A" w:rsidR="00AE4A5C" w:rsidRDefault="00AE4A5C" w:rsidP="00580BD3">
      <w:pPr>
        <w:spacing w:after="0"/>
      </w:pPr>
      <w:r>
        <w:t xml:space="preserve">String data will typically be alphanumeric but may contain other symbols.  In some HL7 standard serializations, these symbols may need to be escaped as per standard-specific rules (e.g. </w:t>
      </w:r>
      <w:r w:rsidR="007F7398">
        <w:t>delimiter escape</w:t>
      </w:r>
      <w:r>
        <w:t xml:space="preserve"> characters in v2 or ampersands in XML).</w:t>
      </w:r>
    </w:p>
    <w:p w14:paraId="69E2C8CD" w14:textId="77777777" w:rsidR="00AE4A5C" w:rsidRDefault="00AE4A5C" w:rsidP="00580BD3">
      <w:pPr>
        <w:spacing w:after="0"/>
      </w:pPr>
    </w:p>
    <w:p w14:paraId="0E6526A4" w14:textId="079C4C99" w:rsidR="00B10416" w:rsidRDefault="004A14F4" w:rsidP="00580BD3">
      <w:pPr>
        <w:spacing w:after="0"/>
      </w:pPr>
      <w:r>
        <w:t>Note: non-UDI elements</w:t>
      </w:r>
      <w:r w:rsidR="007F7398">
        <w:t>, i.e.</w:t>
      </w:r>
      <w:r>
        <w:t xml:space="preserve"> elements which are not listed in the table above, may also appear within the UDI </w:t>
      </w:r>
      <w:r w:rsidR="004C47A1">
        <w:t>carrier</w:t>
      </w:r>
      <w:r>
        <w:t>.</w:t>
      </w:r>
    </w:p>
    <w:p w14:paraId="44C8B2FD" w14:textId="77777777" w:rsidR="00AE4A5C" w:rsidRDefault="00AE4A5C" w:rsidP="00580BD3">
      <w:pPr>
        <w:spacing w:after="0"/>
      </w:pPr>
    </w:p>
    <w:p w14:paraId="598807DE" w14:textId="4C4E757C" w:rsidR="00B10416" w:rsidRDefault="00B10416" w:rsidP="00580BD3">
      <w:pPr>
        <w:spacing w:after="0"/>
      </w:pPr>
      <w:r w:rsidRPr="00B10416">
        <w:rPr>
          <w:b/>
        </w:rPr>
        <w:t>I</w:t>
      </w:r>
      <w:r w:rsidR="003C17B0">
        <w:rPr>
          <w:b/>
        </w:rPr>
        <w:t>dentifier</w:t>
      </w:r>
      <w:r w:rsidR="0080468B">
        <w:rPr>
          <w:b/>
        </w:rPr>
        <w:t>/Code</w:t>
      </w:r>
      <w:r>
        <w:t xml:space="preserve"> – a system data type, typically comp</w:t>
      </w:r>
      <w:r w:rsidR="008C4D28">
        <w:t>o</w:t>
      </w:r>
      <w:r>
        <w:t>sed of an issuer component and a value component. For example</w:t>
      </w:r>
      <w:r w:rsidR="00B62FA4">
        <w:t>,</w:t>
      </w:r>
      <w:r>
        <w:t xml:space="preserve"> it may use one string component to carry the OID</w:t>
      </w:r>
      <w:r w:rsidR="00A05E4F">
        <w:t xml:space="preserve"> or URL</w:t>
      </w:r>
      <w:r>
        <w:t xml:space="preserve">, and another string component to carry the UDI </w:t>
      </w:r>
      <w:r w:rsidR="004C47A1">
        <w:t>carrier HRF or AIDC representation (see below)</w:t>
      </w:r>
      <w:r>
        <w:t>.</w:t>
      </w:r>
      <w:r w:rsidR="008A33FB">
        <w:t xml:space="preserve"> </w:t>
      </w:r>
      <w:r w:rsidR="00D82366">
        <w:t xml:space="preserve">For some standards, when conveyed as an identifier, there may also be a component that identifies the “type” of identifier (in this case, “UDI”).  </w:t>
      </w:r>
      <w:r w:rsidR="008A33FB">
        <w:t xml:space="preserve">The </w:t>
      </w:r>
      <w:r w:rsidR="004A14F4">
        <w:t xml:space="preserve">UDI </w:t>
      </w:r>
      <w:r w:rsidR="004C47A1">
        <w:t>carrier</w:t>
      </w:r>
      <w:r w:rsidR="004A14F4">
        <w:t xml:space="preserve"> </w:t>
      </w:r>
      <w:r w:rsidR="008A33FB">
        <w:t>will be stored as an Identifier when that is the purpose of the data collection, as a globally unique Id for the device, as a code when the intent is to capture the type of device without a requirement for global uniqueness</w:t>
      </w:r>
      <w:r w:rsidR="004A14F4">
        <w:t xml:space="preserve"> or in a </w:t>
      </w:r>
      <w:r w:rsidR="00B0461B">
        <w:t xml:space="preserve">specifically element designated to hold the UDI </w:t>
      </w:r>
      <w:r w:rsidR="004C47A1">
        <w:t>carrier</w:t>
      </w:r>
      <w:r w:rsidR="008A33FB">
        <w:t>.</w:t>
      </w:r>
    </w:p>
    <w:p w14:paraId="30335135" w14:textId="3BBF2117" w:rsidR="00FA0911" w:rsidRDefault="00FA0911" w:rsidP="00580BD3">
      <w:pPr>
        <w:spacing w:after="0"/>
      </w:pPr>
    </w:p>
    <w:p w14:paraId="793F555A" w14:textId="78FDF3B4" w:rsidR="00FA0911" w:rsidRDefault="00306F6C" w:rsidP="00580BD3">
      <w:pPr>
        <w:spacing w:after="0"/>
      </w:pPr>
      <w:r>
        <w:t>T</w:t>
      </w:r>
      <w:r w:rsidR="00FA0911">
        <w:t>he “type” element should be set to “UDI” where this is supported.</w:t>
      </w:r>
    </w:p>
    <w:p w14:paraId="52A2A285" w14:textId="77777777" w:rsidR="00B10416" w:rsidRDefault="00B10416" w:rsidP="00580BD3">
      <w:pPr>
        <w:spacing w:after="0"/>
      </w:pPr>
    </w:p>
    <w:p w14:paraId="44419E1C" w14:textId="77777777" w:rsidR="00B10416" w:rsidRDefault="00B10416" w:rsidP="00580BD3">
      <w:pPr>
        <w:spacing w:after="0"/>
      </w:pPr>
      <w:r w:rsidRPr="00B10416">
        <w:rPr>
          <w:b/>
        </w:rPr>
        <w:t>T</w:t>
      </w:r>
      <w:r w:rsidR="003C17B0">
        <w:rPr>
          <w:b/>
        </w:rPr>
        <w:t>imestamp</w:t>
      </w:r>
      <w:r>
        <w:t xml:space="preserve"> – a time stamp data type which is capable of carrying the full date</w:t>
      </w:r>
      <w:r w:rsidR="003C17B0">
        <w:t>, perhaps with the century missing,</w:t>
      </w:r>
      <w:r>
        <w:t xml:space="preserve"> and optionally the hour</w:t>
      </w:r>
      <w:r w:rsidR="003C17B0">
        <w:t xml:space="preserve"> included</w:t>
      </w:r>
      <w:r>
        <w:t>.</w:t>
      </w:r>
    </w:p>
    <w:p w14:paraId="245B7130" w14:textId="77777777" w:rsidR="00B10416" w:rsidRDefault="00B10416" w:rsidP="00580BD3">
      <w:pPr>
        <w:spacing w:after="0"/>
      </w:pPr>
    </w:p>
    <w:p w14:paraId="6312102F" w14:textId="77777777" w:rsidR="00B10416" w:rsidRDefault="003C17B0" w:rsidP="00580BD3">
      <w:pPr>
        <w:spacing w:after="0"/>
      </w:pPr>
      <w:r>
        <w:rPr>
          <w:b/>
        </w:rPr>
        <w:t>String</w:t>
      </w:r>
      <w:r w:rsidR="00B10416">
        <w:t xml:space="preserve"> – a simple string data type. </w:t>
      </w:r>
    </w:p>
    <w:p w14:paraId="0D96D5F9" w14:textId="77777777" w:rsidR="00662663" w:rsidRDefault="00662663" w:rsidP="00580BD3">
      <w:pPr>
        <w:spacing w:after="0"/>
      </w:pPr>
    </w:p>
    <w:p w14:paraId="059F9F68" w14:textId="77777777" w:rsidR="00FE364E" w:rsidRDefault="00FE364E" w:rsidP="00580BD3">
      <w:pPr>
        <w:spacing w:after="0"/>
      </w:pPr>
    </w:p>
    <w:p w14:paraId="57B30B48" w14:textId="3720861E" w:rsidR="00FE364E" w:rsidRPr="005F75F9" w:rsidRDefault="00FE364E" w:rsidP="00580BD3">
      <w:pPr>
        <w:spacing w:after="0"/>
        <w:rPr>
          <w:b/>
        </w:rPr>
      </w:pPr>
      <w:r w:rsidRPr="005F75F9">
        <w:rPr>
          <w:b/>
        </w:rPr>
        <w:t>Sample UDI Barcode</w:t>
      </w:r>
    </w:p>
    <w:p w14:paraId="0AC4B355" w14:textId="77777777" w:rsidR="00FE364E" w:rsidRDefault="00FE364E" w:rsidP="00580BD3">
      <w:pPr>
        <w:spacing w:after="0"/>
      </w:pPr>
    </w:p>
    <w:p w14:paraId="75C5F640" w14:textId="12697C13" w:rsidR="00FE364E" w:rsidRDefault="00632D74" w:rsidP="00580BD3">
      <w:pPr>
        <w:spacing w:after="0"/>
      </w:pPr>
      <w:r>
        <w:rPr>
          <w:noProof/>
          <w:lang w:eastAsia="en-CA"/>
        </w:rPr>
        <w:drawing>
          <wp:inline distT="0" distB="0" distL="0" distR="0" wp14:anchorId="3EB7CF35" wp14:editId="75AD3F7C">
            <wp:extent cx="2654300" cy="115316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654300" cy="1153160"/>
                    </a:xfrm>
                    <a:prstGeom prst="rect">
                      <a:avLst/>
                    </a:prstGeom>
                    <a:noFill/>
                    <a:ln>
                      <a:noFill/>
                    </a:ln>
                  </pic:spPr>
                </pic:pic>
              </a:graphicData>
            </a:graphic>
          </wp:inline>
        </w:drawing>
      </w:r>
    </w:p>
    <w:p w14:paraId="48E6E68A" w14:textId="77777777" w:rsidR="00FE364E" w:rsidRPr="00BF6821" w:rsidRDefault="00FE364E">
      <w:pPr>
        <w:rPr>
          <w:b/>
        </w:rPr>
      </w:pPr>
      <w:r w:rsidRPr="00BF6821">
        <w:rPr>
          <w:b/>
        </w:rPr>
        <w:t>HRF (Human Readable Format)</w:t>
      </w:r>
    </w:p>
    <w:p w14:paraId="4A28B390" w14:textId="5CB60EB8" w:rsidR="00401770" w:rsidRPr="00BF6821" w:rsidRDefault="00401770">
      <w:r w:rsidRPr="00BF6821">
        <w:t>The Human Readable Form is a rendering of the barcode contents, the data not the markup, using only printable ASCII characters. The HRF may be different for each barcode issuer (GS1, HIBCC, ICCBBA, etc.).</w:t>
      </w:r>
    </w:p>
    <w:p w14:paraId="69E2BBA9" w14:textId="29FBB867" w:rsidR="00401770" w:rsidRDefault="00401770" w:rsidP="005F75F9">
      <w:pPr>
        <w:ind w:left="720"/>
        <w:rPr>
          <w:b/>
        </w:rPr>
      </w:pPr>
      <w:r w:rsidRPr="00BF6821">
        <w:rPr>
          <w:b/>
        </w:rPr>
        <w:t>(01)</w:t>
      </w:r>
      <w:r w:rsidR="00FE364E" w:rsidRPr="00BF6821">
        <w:rPr>
          <w:b/>
        </w:rPr>
        <w:t>09504000059118(17)</w:t>
      </w:r>
      <w:r w:rsidRPr="00BF6821">
        <w:rPr>
          <w:b/>
        </w:rPr>
        <w:t>141120</w:t>
      </w:r>
      <w:r w:rsidR="00FE364E" w:rsidRPr="00BF6821">
        <w:rPr>
          <w:b/>
        </w:rPr>
        <w:t>(10)</w:t>
      </w:r>
      <w:r w:rsidRPr="00BF6821">
        <w:rPr>
          <w:b/>
        </w:rPr>
        <w:t>7654321D(21)10987654d321</w:t>
      </w:r>
      <w:r w:rsidR="000A063F">
        <w:rPr>
          <w:b/>
        </w:rPr>
        <w:t xml:space="preserve"> </w:t>
      </w:r>
      <w:r w:rsidR="000A063F">
        <w:rPr>
          <w:b/>
        </w:rPr>
        <w:tab/>
        <w:t>(GS1)</w:t>
      </w:r>
    </w:p>
    <w:p w14:paraId="7CC61BB0" w14:textId="64E95003" w:rsidR="000A063F" w:rsidRDefault="000A063F" w:rsidP="005F75F9">
      <w:pPr>
        <w:ind w:left="720"/>
        <w:rPr>
          <w:b/>
        </w:rPr>
      </w:pPr>
      <w:r>
        <w:rPr>
          <w:b/>
        </w:rPr>
        <w:lastRenderedPageBreak/>
        <w:t>Examples:</w:t>
      </w:r>
    </w:p>
    <w:p w14:paraId="227142EC" w14:textId="00AA91E8" w:rsidR="000A063F" w:rsidRDefault="000A063F" w:rsidP="000A063F">
      <w:pPr>
        <w:ind w:left="720"/>
        <w:rPr>
          <w:b/>
        </w:rPr>
      </w:pPr>
      <w:r w:rsidRPr="000A063F">
        <w:rPr>
          <w:b/>
        </w:rPr>
        <w:t>(01)51022222233336(11)141231(17)150707(10)A213B1(21)1234</w:t>
      </w:r>
      <w:r>
        <w:rPr>
          <w:b/>
        </w:rPr>
        <w:tab/>
        <w:t>(GS1 HRF</w:t>
      </w:r>
      <w:r w:rsidR="00CE3C1C">
        <w:rPr>
          <w:b/>
        </w:rPr>
        <w:t xml:space="preserve"> – not for exchange</w:t>
      </w:r>
      <w:r>
        <w:rPr>
          <w:b/>
        </w:rPr>
        <w:t>)</w:t>
      </w:r>
    </w:p>
    <w:p w14:paraId="7818420D" w14:textId="095ACDBC" w:rsidR="000A063F" w:rsidRPr="000A063F" w:rsidRDefault="000A063F" w:rsidP="000A063F">
      <w:pPr>
        <w:ind w:left="720"/>
        <w:rPr>
          <w:b/>
        </w:rPr>
      </w:pPr>
      <w:r>
        <w:rPr>
          <w:b/>
        </w:rPr>
        <w:t>{01}51022222233336{11}141231{17}150707{10}A213B1{21}</w:t>
      </w:r>
      <w:r w:rsidRPr="000A063F">
        <w:rPr>
          <w:b/>
        </w:rPr>
        <w:t>1234</w:t>
      </w:r>
      <w:r>
        <w:rPr>
          <w:b/>
        </w:rPr>
        <w:tab/>
        <w:t>(GS1 HRF</w:t>
      </w:r>
      <w:r w:rsidR="0035565B">
        <w:rPr>
          <w:b/>
        </w:rPr>
        <w:t xml:space="preserve"> - </w:t>
      </w:r>
      <w:r w:rsidR="00CE3C1C">
        <w:rPr>
          <w:b/>
        </w:rPr>
        <w:t>exchangeable</w:t>
      </w:r>
      <w:r>
        <w:rPr>
          <w:b/>
        </w:rPr>
        <w:t>)</w:t>
      </w:r>
    </w:p>
    <w:p w14:paraId="21FA7C81" w14:textId="14EDBFC2" w:rsidR="000A063F" w:rsidRPr="000A063F" w:rsidRDefault="000A063F" w:rsidP="000A063F">
      <w:pPr>
        <w:ind w:left="720"/>
        <w:rPr>
          <w:b/>
        </w:rPr>
      </w:pPr>
      <w:r w:rsidRPr="000A063F">
        <w:rPr>
          <w:b/>
        </w:rPr>
        <w:t>+51022222233336/$$515187A213B1/S1234/16D20141231R</w:t>
      </w:r>
      <w:r>
        <w:rPr>
          <w:b/>
        </w:rPr>
        <w:tab/>
      </w:r>
      <w:r>
        <w:rPr>
          <w:b/>
        </w:rPr>
        <w:tab/>
        <w:t>(HIBCC HRF)</w:t>
      </w:r>
    </w:p>
    <w:p w14:paraId="14002326" w14:textId="7FE22654" w:rsidR="000A063F" w:rsidRDefault="000A063F" w:rsidP="005F75F9">
      <w:pPr>
        <w:ind w:left="720"/>
        <w:rPr>
          <w:b/>
        </w:rPr>
      </w:pPr>
      <w:r w:rsidRPr="000A063F">
        <w:rPr>
          <w:b/>
        </w:rPr>
        <w:t>=/51022222233336=,1234/=A213B1=&gt;015187=}014365</w:t>
      </w:r>
      <w:r>
        <w:rPr>
          <w:b/>
        </w:rPr>
        <w:tab/>
      </w:r>
      <w:r>
        <w:rPr>
          <w:b/>
        </w:rPr>
        <w:tab/>
      </w:r>
      <w:r>
        <w:rPr>
          <w:b/>
        </w:rPr>
        <w:tab/>
        <w:t>(ICCBBA HRF)</w:t>
      </w:r>
    </w:p>
    <w:p w14:paraId="4B28813C" w14:textId="4B154BA1" w:rsidR="00BE0989" w:rsidRDefault="00BE0989" w:rsidP="00BE0989">
      <w:pPr>
        <w:spacing w:after="0"/>
        <w:rPr>
          <w:rFonts w:eastAsia="Times New Roman" w:cs="Arial"/>
          <w:color w:val="000000"/>
          <w:lang w:eastAsia="en-CA"/>
        </w:rPr>
      </w:pPr>
      <w:r w:rsidRPr="004860C4">
        <w:rPr>
          <w:rFonts w:eastAsia="Times New Roman" w:cs="Arial"/>
          <w:color w:val="000000"/>
          <w:lang w:eastAsia="en-CA"/>
        </w:rPr>
        <w:t>UDI</w:t>
      </w:r>
      <w:r>
        <w:rPr>
          <w:rFonts w:eastAsia="Times New Roman" w:cs="Arial"/>
          <w:color w:val="000000"/>
          <w:lang w:eastAsia="en-CA"/>
        </w:rPr>
        <w:t xml:space="preserve">s beginning with: </w:t>
      </w:r>
      <w:r>
        <w:rPr>
          <w:rFonts w:eastAsia="Times New Roman" w:cs="Arial"/>
          <w:color w:val="000000"/>
          <w:lang w:eastAsia="en-CA"/>
        </w:rPr>
        <w:tab/>
        <w:t xml:space="preserve">‘(‘ are in the GS1 Human Readable </w:t>
      </w:r>
      <w:r w:rsidR="000A063F">
        <w:rPr>
          <w:rFonts w:eastAsia="Times New Roman" w:cs="Arial"/>
          <w:color w:val="000000"/>
          <w:lang w:eastAsia="en-CA"/>
        </w:rPr>
        <w:t>Format</w:t>
      </w:r>
    </w:p>
    <w:p w14:paraId="1FE4B77B" w14:textId="0B0330F0" w:rsidR="00BE0989" w:rsidRDefault="00BE0989" w:rsidP="00BF6821">
      <w:pPr>
        <w:spacing w:after="0"/>
        <w:ind w:left="1440" w:firstLine="720"/>
        <w:rPr>
          <w:rFonts w:eastAsia="Times New Roman" w:cs="Arial"/>
          <w:color w:val="000000"/>
          <w:lang w:eastAsia="en-CA"/>
        </w:rPr>
      </w:pPr>
      <w:r>
        <w:rPr>
          <w:rFonts w:eastAsia="Times New Roman" w:cs="Arial"/>
          <w:color w:val="000000"/>
          <w:lang w:eastAsia="en-CA"/>
        </w:rPr>
        <w:t xml:space="preserve">‘{‘ are in the GS1 Exchange Format (note not the GS1 Human Readable </w:t>
      </w:r>
      <w:r w:rsidR="000A063F">
        <w:rPr>
          <w:rFonts w:eastAsia="Times New Roman" w:cs="Arial"/>
          <w:color w:val="000000"/>
          <w:lang w:eastAsia="en-CA"/>
        </w:rPr>
        <w:t>format</w:t>
      </w:r>
      <w:r>
        <w:rPr>
          <w:rFonts w:eastAsia="Times New Roman" w:cs="Arial"/>
          <w:color w:val="000000"/>
          <w:lang w:eastAsia="en-CA"/>
        </w:rPr>
        <w:t>);</w:t>
      </w:r>
    </w:p>
    <w:p w14:paraId="245FA554" w14:textId="3828AEF3" w:rsidR="00BE0989" w:rsidRDefault="00BE0989" w:rsidP="00BF6821">
      <w:pPr>
        <w:spacing w:after="0"/>
        <w:ind w:left="1440" w:firstLine="720"/>
        <w:rPr>
          <w:rFonts w:eastAsia="Times New Roman" w:cs="Arial"/>
          <w:color w:val="000000"/>
          <w:lang w:eastAsia="en-CA"/>
        </w:rPr>
      </w:pPr>
      <w:r>
        <w:rPr>
          <w:rFonts w:eastAsia="Times New Roman" w:cs="Arial"/>
          <w:color w:val="000000"/>
          <w:lang w:eastAsia="en-CA"/>
        </w:rPr>
        <w:t>‘0-9’</w:t>
      </w:r>
      <w:r w:rsidR="00306F6C">
        <w:rPr>
          <w:rFonts w:eastAsia="Times New Roman" w:cs="Arial"/>
          <w:color w:val="000000"/>
          <w:lang w:eastAsia="en-CA"/>
        </w:rPr>
        <w:t xml:space="preserve"> is </w:t>
      </w:r>
      <w:r>
        <w:rPr>
          <w:rFonts w:eastAsia="Times New Roman" w:cs="Arial"/>
          <w:color w:val="000000"/>
          <w:lang w:eastAsia="en-CA"/>
        </w:rPr>
        <w:t>a GS1 DI (containing only the DI value);</w:t>
      </w:r>
    </w:p>
    <w:p w14:paraId="04565179" w14:textId="427D5AF8" w:rsidR="00BE0989" w:rsidRDefault="00BE0989" w:rsidP="003527B3">
      <w:pPr>
        <w:tabs>
          <w:tab w:val="left" w:pos="8878"/>
        </w:tabs>
        <w:spacing w:after="0"/>
        <w:ind w:left="1440" w:firstLine="720"/>
        <w:rPr>
          <w:rFonts w:eastAsia="Times New Roman" w:cs="Arial"/>
          <w:color w:val="000000"/>
          <w:lang w:eastAsia="en-CA"/>
        </w:rPr>
      </w:pPr>
      <w:r>
        <w:rPr>
          <w:rFonts w:eastAsia="Times New Roman" w:cs="Arial"/>
          <w:color w:val="000000"/>
          <w:lang w:eastAsia="en-CA"/>
        </w:rPr>
        <w:t>‘+‘ are in the HIBCC Human Readable style;</w:t>
      </w:r>
      <w:r w:rsidR="000A063F">
        <w:rPr>
          <w:rFonts w:eastAsia="Times New Roman" w:cs="Arial"/>
          <w:color w:val="000000"/>
          <w:lang w:eastAsia="en-CA"/>
        </w:rPr>
        <w:tab/>
      </w:r>
    </w:p>
    <w:p w14:paraId="13E6FF81" w14:textId="2563007A" w:rsidR="00BE0989" w:rsidRDefault="00BE0989" w:rsidP="00BF6821">
      <w:pPr>
        <w:ind w:left="1440" w:firstLine="720"/>
        <w:rPr>
          <w:rFonts w:eastAsia="Times New Roman" w:cs="Arial"/>
          <w:color w:val="000000"/>
          <w:lang w:eastAsia="en-CA"/>
        </w:rPr>
      </w:pPr>
      <w:r>
        <w:rPr>
          <w:rFonts w:eastAsia="Times New Roman" w:cs="Arial"/>
          <w:color w:val="000000"/>
          <w:lang w:eastAsia="en-CA"/>
        </w:rPr>
        <w:t>‘=‘ or ‘&amp;’ are in the ICCBBA Human Readable style.</w:t>
      </w:r>
    </w:p>
    <w:p w14:paraId="62161B1D" w14:textId="52AD613B" w:rsidR="0035565B" w:rsidRPr="00BF6821" w:rsidRDefault="0035565B" w:rsidP="003527B3">
      <w:pPr>
        <w:rPr>
          <w:b/>
        </w:rPr>
      </w:pPr>
      <w:r>
        <w:rPr>
          <w:rFonts w:eastAsia="Times New Roman" w:cs="Arial"/>
          <w:color w:val="000000"/>
          <w:lang w:eastAsia="en-CA"/>
        </w:rPr>
        <w:t xml:space="preserve">Note: The official GS1 HRF is not safely </w:t>
      </w:r>
      <w:r w:rsidR="00AB4463">
        <w:rPr>
          <w:rFonts w:eastAsia="Times New Roman" w:cs="Arial"/>
          <w:color w:val="000000"/>
          <w:lang w:eastAsia="en-CA"/>
        </w:rPr>
        <w:t>parseable</w:t>
      </w:r>
      <w:r>
        <w:rPr>
          <w:rFonts w:eastAsia="Times New Roman" w:cs="Arial"/>
          <w:color w:val="000000"/>
          <w:lang w:eastAsia="en-CA"/>
        </w:rPr>
        <w:t xml:space="preserve"> as separator characters (</w:t>
      </w:r>
      <w:r w:rsidR="00616F0D">
        <w:rPr>
          <w:rFonts w:eastAsia="Times New Roman" w:cs="Arial"/>
          <w:color w:val="000000"/>
          <w:lang w:eastAsia="en-CA"/>
        </w:rPr>
        <w:t>parentheses</w:t>
      </w:r>
      <w:r>
        <w:rPr>
          <w:rFonts w:eastAsia="Times New Roman" w:cs="Arial"/>
          <w:color w:val="000000"/>
          <w:lang w:eastAsia="en-CA"/>
        </w:rPr>
        <w:t xml:space="preserve">) are also permitted as part of </w:t>
      </w:r>
      <w:r w:rsidR="004C47A1">
        <w:rPr>
          <w:rFonts w:eastAsia="Times New Roman" w:cs="Arial"/>
          <w:color w:val="000000"/>
          <w:lang w:eastAsia="en-CA"/>
        </w:rPr>
        <w:t xml:space="preserve">component </w:t>
      </w:r>
      <w:r>
        <w:rPr>
          <w:rFonts w:eastAsia="Times New Roman" w:cs="Arial"/>
          <w:color w:val="000000"/>
          <w:lang w:eastAsia="en-CA"/>
        </w:rPr>
        <w:t xml:space="preserve">string values.  For this reason, instance data is generally transmitted using the </w:t>
      </w:r>
      <w:r w:rsidR="00616F0D">
        <w:rPr>
          <w:rFonts w:eastAsia="Times New Roman" w:cs="Arial"/>
          <w:color w:val="000000"/>
          <w:lang w:eastAsia="en-CA"/>
        </w:rPr>
        <w:t xml:space="preserve">GS1 HRF </w:t>
      </w:r>
      <w:r>
        <w:rPr>
          <w:rFonts w:eastAsia="Times New Roman" w:cs="Arial"/>
          <w:color w:val="000000"/>
          <w:lang w:eastAsia="en-CA"/>
        </w:rPr>
        <w:t>exchangeable syntax</w:t>
      </w:r>
      <w:r w:rsidR="00616F0D">
        <w:rPr>
          <w:rFonts w:eastAsia="Times New Roman" w:cs="Arial"/>
          <w:color w:val="000000"/>
          <w:lang w:eastAsia="en-CA"/>
        </w:rPr>
        <w:t xml:space="preserve"> (curly braces in the place of the parentheses when used as separators)</w:t>
      </w:r>
      <w:r>
        <w:rPr>
          <w:rFonts w:eastAsia="Times New Roman" w:cs="Arial"/>
          <w:color w:val="000000"/>
          <w:lang w:eastAsia="en-CA"/>
        </w:rPr>
        <w:t>.</w:t>
      </w:r>
    </w:p>
    <w:p w14:paraId="3A462A9F" w14:textId="4F4228BE" w:rsidR="00401770" w:rsidRPr="00BF6821" w:rsidRDefault="00401770">
      <w:pPr>
        <w:rPr>
          <w:b/>
        </w:rPr>
      </w:pPr>
      <w:r w:rsidRPr="00BF6821">
        <w:rPr>
          <w:b/>
        </w:rPr>
        <w:t>AIDC (Automatic Identification and Data Capture)</w:t>
      </w:r>
    </w:p>
    <w:p w14:paraId="55FFBEA8" w14:textId="7C6F384F" w:rsidR="00401770" w:rsidRDefault="00401770">
      <w:r w:rsidRPr="00BF6821">
        <w:t>The AIDC format of the barcode contents includes both the data and the markup and may contain unprintable ASCII characters. In the example below the &lt;GS&gt; stands for the unprintable character 29 (hex 1D).</w:t>
      </w:r>
      <w:r w:rsidR="00F503FB">
        <w:t xml:space="preserve"> The actual standards organizations responsible for barcode standards should be consulted to understand the encoding of information into the various barcode standards.</w:t>
      </w:r>
    </w:p>
    <w:p w14:paraId="7022ECB9" w14:textId="10A11C91" w:rsidR="00CE3C1C" w:rsidRDefault="00CE3C1C" w:rsidP="00AB4463">
      <w:pPr>
        <w:spacing w:after="0"/>
        <w:rPr>
          <w:rFonts w:eastAsia="Times New Roman" w:cs="Arial"/>
          <w:color w:val="000000"/>
          <w:lang w:eastAsia="en-CA"/>
        </w:rPr>
      </w:pPr>
      <w:r w:rsidRPr="004860C4">
        <w:rPr>
          <w:rFonts w:eastAsia="Times New Roman" w:cs="Arial"/>
          <w:color w:val="000000"/>
          <w:lang w:eastAsia="en-CA"/>
        </w:rPr>
        <w:t>UDI</w:t>
      </w:r>
      <w:r>
        <w:rPr>
          <w:rFonts w:eastAsia="Times New Roman" w:cs="Arial"/>
          <w:color w:val="000000"/>
          <w:lang w:eastAsia="en-CA"/>
        </w:rPr>
        <w:t xml:space="preserve">s beginning with: </w:t>
      </w:r>
      <w:r>
        <w:rPr>
          <w:rFonts w:eastAsia="Times New Roman" w:cs="Arial"/>
          <w:color w:val="000000"/>
          <w:lang w:eastAsia="en-CA"/>
        </w:rPr>
        <w:tab/>
      </w:r>
      <w:r>
        <w:rPr>
          <w:rFonts w:eastAsia="Times New Roman" w:cs="Arial"/>
          <w:color w:val="000000"/>
          <w:lang w:eastAsia="en-CA"/>
        </w:rPr>
        <w:t xml:space="preserve"> </w:t>
      </w:r>
      <w:r>
        <w:rPr>
          <w:rFonts w:eastAsia="Times New Roman" w:cs="Arial"/>
          <w:color w:val="000000"/>
          <w:lang w:eastAsia="en-CA"/>
        </w:rPr>
        <w:t xml:space="preserve">‘0-9’ is </w:t>
      </w:r>
      <w:r>
        <w:rPr>
          <w:rFonts w:eastAsia="Times New Roman" w:cs="Arial"/>
          <w:color w:val="000000"/>
          <w:lang w:eastAsia="en-CA"/>
        </w:rPr>
        <w:t>a GS1 AIDC format</w:t>
      </w:r>
      <w:r>
        <w:rPr>
          <w:rFonts w:eastAsia="Times New Roman" w:cs="Arial"/>
          <w:color w:val="000000"/>
          <w:lang w:eastAsia="en-CA"/>
        </w:rPr>
        <w:t>;</w:t>
      </w:r>
    </w:p>
    <w:p w14:paraId="06E05CB0" w14:textId="77777777" w:rsidR="00CE3C1C" w:rsidRDefault="00CE3C1C" w:rsidP="00CE3C1C">
      <w:pPr>
        <w:tabs>
          <w:tab w:val="left" w:pos="8878"/>
        </w:tabs>
        <w:spacing w:after="0"/>
        <w:ind w:left="1440" w:firstLine="720"/>
        <w:rPr>
          <w:rFonts w:eastAsia="Times New Roman" w:cs="Arial"/>
          <w:color w:val="000000"/>
          <w:lang w:eastAsia="en-CA"/>
        </w:rPr>
      </w:pPr>
      <w:r>
        <w:rPr>
          <w:rFonts w:eastAsia="Times New Roman" w:cs="Arial"/>
          <w:color w:val="000000"/>
          <w:lang w:eastAsia="en-CA"/>
        </w:rPr>
        <w:t>‘+‘ are in the HIBCC Human Readable style;</w:t>
      </w:r>
      <w:r>
        <w:rPr>
          <w:rFonts w:eastAsia="Times New Roman" w:cs="Arial"/>
          <w:color w:val="000000"/>
          <w:lang w:eastAsia="en-CA"/>
        </w:rPr>
        <w:tab/>
      </w:r>
    </w:p>
    <w:p w14:paraId="53BC0BF1" w14:textId="0FD18FE4" w:rsidR="00CE3C1C" w:rsidRPr="00AB4463" w:rsidRDefault="00CE3C1C" w:rsidP="00AB4463">
      <w:pPr>
        <w:ind w:left="1440" w:firstLine="720"/>
        <w:rPr>
          <w:rFonts w:eastAsia="Times New Roman" w:cs="Arial"/>
          <w:color w:val="000000"/>
          <w:lang w:eastAsia="en-CA"/>
        </w:rPr>
      </w:pPr>
      <w:r>
        <w:rPr>
          <w:rFonts w:eastAsia="Times New Roman" w:cs="Arial"/>
          <w:color w:val="000000"/>
          <w:lang w:eastAsia="en-CA"/>
        </w:rPr>
        <w:t>‘=‘ or ‘&amp;’ are in the ICCBBA Human Readable style.</w:t>
      </w:r>
    </w:p>
    <w:p w14:paraId="65AF7760" w14:textId="06CF1C70" w:rsidR="000A063F" w:rsidRDefault="00CE3C1C" w:rsidP="00AB4463">
      <w:pPr>
        <w:rPr>
          <w:rFonts w:cs="Calibri"/>
          <w:b/>
          <w:lang w:eastAsia="en-CA"/>
        </w:rPr>
      </w:pPr>
      <w:r>
        <w:t>T</w:t>
      </w:r>
      <w:r w:rsidR="003527B3">
        <w:t xml:space="preserve">he character checked is </w:t>
      </w:r>
      <w:r>
        <w:t xml:space="preserve">the first character after the barcode style identification string. In the examples below the barcode style string is the first 3 characters therefore </w:t>
      </w:r>
      <w:r w:rsidR="003527B3">
        <w:t>the 4</w:t>
      </w:r>
      <w:r w:rsidR="003527B3" w:rsidRPr="00AB4463">
        <w:rPr>
          <w:vertAlign w:val="superscript"/>
        </w:rPr>
        <w:t>th</w:t>
      </w:r>
      <w:r w:rsidR="003527B3">
        <w:t xml:space="preserve"> character </w:t>
      </w:r>
      <w:r>
        <w:t>is examined</w:t>
      </w:r>
      <w:r w:rsidR="003527B3">
        <w:t>.</w:t>
      </w:r>
    </w:p>
    <w:p w14:paraId="4E4ACFB4" w14:textId="325F7B0B" w:rsidR="00401770" w:rsidRDefault="00401770" w:rsidP="005F75F9">
      <w:pPr>
        <w:ind w:left="720"/>
        <w:rPr>
          <w:rFonts w:cs="Calibri"/>
          <w:b/>
          <w:lang w:eastAsia="en-CA"/>
        </w:rPr>
      </w:pPr>
      <w:r w:rsidRPr="005F75F9">
        <w:rPr>
          <w:rFonts w:cs="Calibri"/>
          <w:b/>
          <w:lang w:eastAsia="en-CA"/>
        </w:rPr>
        <w:t>]d2010950400005911817141120107654321D&lt;GS&gt;2110987654d321</w:t>
      </w:r>
      <w:r w:rsidR="000A063F">
        <w:rPr>
          <w:rFonts w:cs="Calibri"/>
          <w:b/>
          <w:lang w:eastAsia="en-CA"/>
        </w:rPr>
        <w:tab/>
      </w:r>
      <w:r w:rsidR="000A063F">
        <w:rPr>
          <w:rFonts w:cs="Calibri"/>
          <w:b/>
          <w:lang w:eastAsia="en-CA"/>
        </w:rPr>
        <w:tab/>
        <w:t>(GS1 Data Matrix)</w:t>
      </w:r>
    </w:p>
    <w:p w14:paraId="2D771081" w14:textId="77777777" w:rsidR="000A063F" w:rsidRPr="000A063F" w:rsidRDefault="000A063F" w:rsidP="000A063F">
      <w:pPr>
        <w:ind w:left="720"/>
        <w:rPr>
          <w:rFonts w:cs="Calibri"/>
          <w:b/>
          <w:lang w:eastAsia="en-CA"/>
        </w:rPr>
      </w:pPr>
      <w:r w:rsidRPr="000A063F">
        <w:rPr>
          <w:rFonts w:cs="Calibri"/>
          <w:b/>
          <w:lang w:eastAsia="en-CA"/>
        </w:rPr>
        <w:t>]C10151022222233336&lt;GS&gt;111412311715070710A213B1&lt;GS&gt;211234</w:t>
      </w:r>
      <w:r>
        <w:rPr>
          <w:rFonts w:cs="Calibri"/>
          <w:b/>
          <w:lang w:eastAsia="en-CA"/>
        </w:rPr>
        <w:tab/>
      </w:r>
      <w:r>
        <w:rPr>
          <w:rFonts w:cs="Calibri"/>
          <w:b/>
          <w:lang w:eastAsia="en-CA"/>
        </w:rPr>
        <w:tab/>
        <w:t>{GS1 128)</w:t>
      </w:r>
    </w:p>
    <w:p w14:paraId="788ABDDC" w14:textId="1583AAF4" w:rsidR="000C5E87" w:rsidRPr="000A063F" w:rsidRDefault="000C5E87" w:rsidP="000C5E87">
      <w:pPr>
        <w:ind w:left="720"/>
        <w:rPr>
          <w:b/>
        </w:rPr>
      </w:pPr>
      <w:r>
        <w:rPr>
          <w:b/>
        </w:rPr>
        <w:t>]C1</w:t>
      </w:r>
      <w:r w:rsidRPr="000A063F">
        <w:rPr>
          <w:b/>
        </w:rPr>
        <w:t>+51022222233336/$$515187A213B1/S1234/16D20141231R</w:t>
      </w:r>
      <w:r>
        <w:rPr>
          <w:b/>
        </w:rPr>
        <w:tab/>
      </w:r>
      <w:r>
        <w:rPr>
          <w:b/>
        </w:rPr>
        <w:tab/>
        <w:t>(HIBCC 128)</w:t>
      </w:r>
    </w:p>
    <w:p w14:paraId="4E805CDB" w14:textId="58F69FD1" w:rsidR="000A063F" w:rsidRDefault="000C5E87" w:rsidP="00AB4463">
      <w:pPr>
        <w:ind w:left="720"/>
        <w:rPr>
          <w:rFonts w:cs="Calibri"/>
          <w:b/>
          <w:lang w:eastAsia="en-CA"/>
        </w:rPr>
      </w:pPr>
      <w:r>
        <w:rPr>
          <w:b/>
        </w:rPr>
        <w:t>]C1</w:t>
      </w:r>
      <w:r w:rsidRPr="000A063F">
        <w:rPr>
          <w:b/>
        </w:rPr>
        <w:t>=/51022222233336=,1234/=A213B1=&gt;015187=}014365</w:t>
      </w:r>
      <w:r>
        <w:rPr>
          <w:b/>
        </w:rPr>
        <w:tab/>
      </w:r>
      <w:r>
        <w:rPr>
          <w:b/>
        </w:rPr>
        <w:tab/>
      </w:r>
      <w:r>
        <w:rPr>
          <w:b/>
        </w:rPr>
        <w:tab/>
        <w:t>(ICCBBA 128)</w:t>
      </w:r>
    </w:p>
    <w:p w14:paraId="6A2A474B" w14:textId="5282B4AD" w:rsidR="00C85936" w:rsidRDefault="00C85936" w:rsidP="00BF6821">
      <w:pPr>
        <w:rPr>
          <w:rFonts w:cs="Calibri"/>
          <w:lang w:eastAsia="en-CA"/>
        </w:rPr>
      </w:pPr>
      <w:r>
        <w:rPr>
          <w:rFonts w:cs="Calibri"/>
          <w:lang w:eastAsia="en-CA"/>
        </w:rPr>
        <w:t xml:space="preserve">Translating from the AIDC format to the HRF format is contingent on being aware </w:t>
      </w:r>
      <w:r w:rsidR="00AD4992">
        <w:rPr>
          <w:rFonts w:cs="Calibri"/>
          <w:lang w:eastAsia="en-CA"/>
        </w:rPr>
        <w:t>of the issuer standard</w:t>
      </w:r>
      <w:r>
        <w:rPr>
          <w:rFonts w:cs="Calibri"/>
          <w:lang w:eastAsia="en-CA"/>
        </w:rPr>
        <w:t xml:space="preserve"> used to encode it</w:t>
      </w:r>
      <w:r w:rsidR="00AD4992">
        <w:rPr>
          <w:rFonts w:cs="Calibri"/>
          <w:lang w:eastAsia="en-CA"/>
        </w:rPr>
        <w:t xml:space="preserve"> and may, such as with GS1, require a current copy of the specification to be maintained</w:t>
      </w:r>
      <w:r w:rsidR="003527B3">
        <w:rPr>
          <w:rFonts w:cs="Calibri"/>
          <w:lang w:eastAsia="en-CA"/>
        </w:rPr>
        <w:t>.</w:t>
      </w:r>
      <w:r w:rsidR="00992B7A">
        <w:rPr>
          <w:rFonts w:cs="Calibri"/>
          <w:lang w:eastAsia="en-CA"/>
        </w:rPr>
        <w:t xml:space="preserve"> </w:t>
      </w:r>
      <w:r w:rsidR="003527B3">
        <w:rPr>
          <w:rFonts w:cs="Calibri"/>
          <w:lang w:eastAsia="en-CA"/>
        </w:rPr>
        <w:t>I</w:t>
      </w:r>
      <w:r w:rsidR="00992B7A">
        <w:rPr>
          <w:rFonts w:cs="Calibri"/>
          <w:lang w:eastAsia="en-CA"/>
        </w:rPr>
        <w:t>.e. the</w:t>
      </w:r>
      <w:r w:rsidR="00AB4463">
        <w:rPr>
          <w:rFonts w:cs="Calibri"/>
          <w:lang w:eastAsia="en-CA"/>
        </w:rPr>
        <w:t xml:space="preserve"> lengths and the values of tags are </w:t>
      </w:r>
      <w:r w:rsidR="00992B7A">
        <w:rPr>
          <w:rFonts w:cs="Calibri"/>
          <w:lang w:eastAsia="en-CA"/>
        </w:rPr>
        <w:t xml:space="preserve">and </w:t>
      </w:r>
      <w:r w:rsidR="00AB4463">
        <w:rPr>
          <w:rFonts w:cs="Calibri"/>
          <w:lang w:eastAsia="en-CA"/>
        </w:rPr>
        <w:t xml:space="preserve">the list of valid tags </w:t>
      </w:r>
      <w:r w:rsidR="00992B7A">
        <w:rPr>
          <w:rFonts w:cs="Calibri"/>
          <w:lang w:eastAsia="en-CA"/>
        </w:rPr>
        <w:t>may change with new releases of the GS1</w:t>
      </w:r>
      <w:r w:rsidR="00E31836">
        <w:rPr>
          <w:rFonts w:cs="Calibri"/>
          <w:lang w:eastAsia="en-CA"/>
        </w:rPr>
        <w:t xml:space="preserve"> standard</w:t>
      </w:r>
      <w:r w:rsidR="00992B7A">
        <w:rPr>
          <w:rFonts w:cs="Calibri"/>
          <w:lang w:eastAsia="en-CA"/>
        </w:rPr>
        <w:t>.</w:t>
      </w:r>
    </w:p>
    <w:p w14:paraId="4703BB6F" w14:textId="2D504EC7" w:rsidR="00EA607E" w:rsidRDefault="00662663" w:rsidP="00BF6821">
      <w:pPr>
        <w:pStyle w:val="Heading1"/>
      </w:pPr>
      <w:r>
        <w:br w:type="page"/>
      </w:r>
      <w:r w:rsidR="005F75F9">
        <w:lastRenderedPageBreak/>
        <w:t>General Guidance</w:t>
      </w:r>
    </w:p>
    <w:p w14:paraId="6077E834" w14:textId="4DD6AB97" w:rsidR="00AB4463" w:rsidRDefault="00E32869" w:rsidP="00E32869">
      <w:pPr>
        <w:spacing w:after="0"/>
        <w:rPr>
          <w:rFonts w:eastAsia="Times New Roman" w:cs="Arial"/>
          <w:color w:val="000000"/>
          <w:lang w:eastAsia="en-CA"/>
        </w:rPr>
      </w:pPr>
      <w:r w:rsidRPr="003C17B0">
        <w:rPr>
          <w:rFonts w:eastAsia="Times New Roman" w:cs="Arial"/>
          <w:b/>
          <w:color w:val="000000"/>
          <w:lang w:eastAsia="en-CA"/>
        </w:rPr>
        <w:t>Caution:</w:t>
      </w:r>
      <w:r>
        <w:rPr>
          <w:rFonts w:eastAsia="Times New Roman" w:cs="Arial"/>
          <w:color w:val="000000"/>
          <w:lang w:eastAsia="en-CA"/>
        </w:rPr>
        <w:t xml:space="preserve"> The UDI </w:t>
      </w:r>
      <w:r w:rsidR="004C47A1">
        <w:rPr>
          <w:rFonts w:eastAsia="Times New Roman" w:cs="Arial"/>
          <w:color w:val="000000"/>
          <w:lang w:eastAsia="en-CA"/>
        </w:rPr>
        <w:t>carrier</w:t>
      </w:r>
      <w:r w:rsidR="000C5E87">
        <w:rPr>
          <w:rFonts w:eastAsia="Times New Roman" w:cs="Arial"/>
          <w:color w:val="000000"/>
          <w:lang w:eastAsia="en-CA"/>
        </w:rPr>
        <w:t xml:space="preserve"> </w:t>
      </w:r>
      <w:r>
        <w:rPr>
          <w:rFonts w:eastAsia="Times New Roman" w:cs="Arial"/>
          <w:color w:val="000000"/>
          <w:lang w:eastAsia="en-CA"/>
        </w:rPr>
        <w:t xml:space="preserve">may contain Personally Identifying Information (PII) in the form of the </w:t>
      </w:r>
      <w:r w:rsidRPr="003C17B0">
        <w:rPr>
          <w:rFonts w:eastAsia="Times New Roman" w:cs="Arial"/>
          <w:b/>
          <w:color w:val="000000"/>
          <w:lang w:eastAsia="en-CA"/>
        </w:rPr>
        <w:t>serial number</w:t>
      </w:r>
      <w:r>
        <w:rPr>
          <w:rFonts w:eastAsia="Times New Roman" w:cs="Arial"/>
          <w:color w:val="000000"/>
          <w:lang w:eastAsia="en-CA"/>
        </w:rPr>
        <w:t xml:space="preserve"> </w:t>
      </w:r>
      <w:r w:rsidR="00A73442">
        <w:rPr>
          <w:rFonts w:eastAsia="Times New Roman" w:cs="Arial"/>
          <w:color w:val="000000"/>
          <w:lang w:eastAsia="en-CA"/>
        </w:rPr>
        <w:t xml:space="preserve">or potentially other elements </w:t>
      </w:r>
      <w:r>
        <w:rPr>
          <w:rFonts w:eastAsia="Times New Roman" w:cs="Arial"/>
          <w:color w:val="000000"/>
          <w:lang w:eastAsia="en-CA"/>
        </w:rPr>
        <w:t>which may be used to link to other information on a patient. Standard practi</w:t>
      </w:r>
      <w:r w:rsidR="000C5E87">
        <w:rPr>
          <w:rFonts w:eastAsia="Times New Roman" w:cs="Arial"/>
          <w:color w:val="000000"/>
          <w:lang w:eastAsia="en-CA"/>
        </w:rPr>
        <w:t>c</w:t>
      </w:r>
      <w:r>
        <w:rPr>
          <w:rFonts w:eastAsia="Times New Roman" w:cs="Arial"/>
          <w:color w:val="000000"/>
          <w:lang w:eastAsia="en-CA"/>
        </w:rPr>
        <w:t>e for exchanging potentially identifying content should be exercised when exchanging UDI</w:t>
      </w:r>
      <w:r w:rsidR="000C5E87">
        <w:rPr>
          <w:rFonts w:eastAsia="Times New Roman" w:cs="Arial"/>
          <w:color w:val="000000"/>
          <w:lang w:eastAsia="en-CA"/>
        </w:rPr>
        <w:t xml:space="preserve"> </w:t>
      </w:r>
      <w:r w:rsidR="004C47A1">
        <w:rPr>
          <w:rFonts w:eastAsia="Times New Roman" w:cs="Arial"/>
          <w:color w:val="000000"/>
          <w:lang w:eastAsia="en-CA"/>
        </w:rPr>
        <w:t xml:space="preserve">carriers </w:t>
      </w:r>
      <w:r>
        <w:rPr>
          <w:rFonts w:eastAsia="Times New Roman" w:cs="Arial"/>
          <w:color w:val="000000"/>
          <w:lang w:eastAsia="en-CA"/>
        </w:rPr>
        <w:t xml:space="preserve">which contain a </w:t>
      </w:r>
      <w:r w:rsidRPr="008E4CB9">
        <w:rPr>
          <w:rFonts w:eastAsia="Times New Roman" w:cs="Arial"/>
          <w:b/>
          <w:color w:val="000000"/>
          <w:lang w:eastAsia="en-CA"/>
        </w:rPr>
        <w:t>serial number</w:t>
      </w:r>
      <w:r>
        <w:rPr>
          <w:rFonts w:eastAsia="Times New Roman" w:cs="Arial"/>
          <w:color w:val="000000"/>
          <w:lang w:eastAsia="en-CA"/>
        </w:rPr>
        <w:t xml:space="preserve"> </w:t>
      </w:r>
      <w:r w:rsidR="00A73442">
        <w:rPr>
          <w:rFonts w:eastAsia="Times New Roman" w:cs="Arial"/>
          <w:color w:val="000000"/>
          <w:lang w:eastAsia="en-CA"/>
        </w:rPr>
        <w:t>or other potentially personally-identifying elements</w:t>
      </w:r>
      <w:r w:rsidR="00D8141E">
        <w:rPr>
          <w:rFonts w:eastAsia="Times New Roman" w:cs="Arial"/>
          <w:color w:val="000000"/>
          <w:lang w:eastAsia="en-CA"/>
        </w:rPr>
        <w:t xml:space="preserve"> </w:t>
      </w:r>
      <w:r>
        <w:rPr>
          <w:rFonts w:eastAsia="Times New Roman" w:cs="Arial"/>
          <w:color w:val="000000"/>
          <w:lang w:eastAsia="en-CA"/>
        </w:rPr>
        <w:t>or when communicating un-parsed UDI</w:t>
      </w:r>
      <w:r w:rsidR="000C5E87">
        <w:rPr>
          <w:rFonts w:eastAsia="Times New Roman" w:cs="Arial"/>
          <w:color w:val="000000"/>
          <w:lang w:eastAsia="en-CA"/>
        </w:rPr>
        <w:t xml:space="preserve"> </w:t>
      </w:r>
      <w:r w:rsidR="004C47A1">
        <w:rPr>
          <w:rFonts w:eastAsia="Times New Roman" w:cs="Arial"/>
          <w:color w:val="000000"/>
          <w:lang w:eastAsia="en-CA"/>
        </w:rPr>
        <w:t xml:space="preserve">carriers </w:t>
      </w:r>
      <w:r>
        <w:rPr>
          <w:rFonts w:eastAsia="Times New Roman" w:cs="Arial"/>
          <w:color w:val="000000"/>
          <w:lang w:eastAsia="en-CA"/>
        </w:rPr>
        <w:t xml:space="preserve">which may contain </w:t>
      </w:r>
      <w:r w:rsidR="00A73442">
        <w:rPr>
          <w:rFonts w:eastAsia="Times New Roman" w:cs="Arial"/>
          <w:color w:val="000000"/>
          <w:lang w:eastAsia="en-CA"/>
        </w:rPr>
        <w:t>such elements</w:t>
      </w:r>
      <w:r>
        <w:rPr>
          <w:rFonts w:eastAsia="Times New Roman" w:cs="Arial"/>
          <w:color w:val="000000"/>
          <w:lang w:eastAsia="en-CA"/>
        </w:rPr>
        <w:t>.</w:t>
      </w:r>
    </w:p>
    <w:p w14:paraId="3C7DD3A5" w14:textId="77777777" w:rsidR="00E32869" w:rsidRDefault="00E32869" w:rsidP="00AB4463">
      <w:pPr>
        <w:spacing w:after="0"/>
      </w:pPr>
    </w:p>
    <w:p w14:paraId="51858E6F" w14:textId="268D0FB6" w:rsidR="006E32C6" w:rsidRDefault="005F75F9">
      <w:r>
        <w:t>This section provides instructions for how UDI</w:t>
      </w:r>
      <w:r w:rsidR="000C5E87">
        <w:t xml:space="preserve"> </w:t>
      </w:r>
      <w:r w:rsidR="004C47A1">
        <w:t xml:space="preserve">carriers </w:t>
      </w:r>
      <w:r>
        <w:t>and their components should be conveyed in various HL7 communication standards.  Systems claiming conformance with this specification SHALL convey UDI information as described here when they are aware that they are conveying UDI information.</w:t>
      </w:r>
      <w:r w:rsidR="00640946">
        <w:t xml:space="preserve">  Note that all guidance refers to where elements shall be transmitted if they are included in the instance.  The base set of guidance does not assert when the UDI </w:t>
      </w:r>
      <w:r w:rsidR="004C47A1">
        <w:t>carrier</w:t>
      </w:r>
      <w:r w:rsidR="00640946">
        <w:t xml:space="preserve">, its constituent values or </w:t>
      </w:r>
      <w:r w:rsidR="004C47A1">
        <w:t xml:space="preserve">some combination of those </w:t>
      </w:r>
      <w:r w:rsidR="00640946">
        <w:t>need to be present.</w:t>
      </w:r>
    </w:p>
    <w:p w14:paraId="0E819204" w14:textId="7CB53DCE" w:rsidR="005F75F9" w:rsidRPr="008F6766" w:rsidRDefault="00134EC9" w:rsidP="00BF6821">
      <w:pPr>
        <w:pStyle w:val="Heading2"/>
      </w:pPr>
      <w:r>
        <w:br w:type="page"/>
      </w:r>
      <w:r w:rsidR="005F75F9" w:rsidRPr="00582636">
        <w:lastRenderedPageBreak/>
        <w:t>V2</w:t>
      </w:r>
    </w:p>
    <w:p w14:paraId="658A5AD5" w14:textId="207E38B3" w:rsidR="005F75F9" w:rsidRDefault="005F75F9" w:rsidP="005F75F9">
      <w:pPr>
        <w:spacing w:after="0"/>
      </w:pPr>
      <w:r>
        <w:t xml:space="preserve">The HRF </w:t>
      </w:r>
      <w:r w:rsidR="00A05E4F">
        <w:t xml:space="preserve">or AIDC </w:t>
      </w:r>
      <w:r>
        <w:t>shall be communicated in either PRT-10 or PRT-22.</w:t>
      </w:r>
      <w:r w:rsidR="00C85936">
        <w:t xml:space="preserve">  The HRF is preferred.</w:t>
      </w:r>
    </w:p>
    <w:p w14:paraId="07CB9D49" w14:textId="047989B2" w:rsidR="005F75F9" w:rsidRDefault="005F75F9" w:rsidP="005F75F9">
      <w:pPr>
        <w:spacing w:after="0"/>
      </w:pPr>
      <w:r>
        <w:t>PRT-10 is used when the HRF contains the serial number, while PRT-22 is used when it does not.</w:t>
      </w:r>
    </w:p>
    <w:p w14:paraId="45A42717" w14:textId="028C0564" w:rsidR="00A9008B" w:rsidRDefault="00A9008B" w:rsidP="005F75F9">
      <w:pPr>
        <w:spacing w:after="0"/>
      </w:pPr>
      <w:r>
        <w:t>Note that v2 supports either OIDs or URIs as a means of globally unique identification</w:t>
      </w:r>
      <w:r w:rsidR="00C85936">
        <w:t xml:space="preserve"> for identifiers, but only OIDs for code systems</w:t>
      </w:r>
      <w:r>
        <w:t>.</w:t>
      </w:r>
    </w:p>
    <w:p w14:paraId="50B774BD" w14:textId="29066555" w:rsidR="00C85936" w:rsidRDefault="00C85936" w:rsidP="005F75F9">
      <w:pPr>
        <w:spacing w:after="0"/>
      </w:pPr>
    </w:p>
    <w:p w14:paraId="756A4338" w14:textId="072C1AC6" w:rsidR="00C85936" w:rsidRDefault="00C85936" w:rsidP="005F75F9">
      <w:pPr>
        <w:spacing w:after="0"/>
      </w:pPr>
      <w:r>
        <w:t xml:space="preserve">Within PRT-10, the UDI </w:t>
      </w:r>
      <w:r w:rsidR="004C47A1">
        <w:t xml:space="preserve">carrier </w:t>
      </w:r>
      <w:r>
        <w:t>is sent in component 1 of the EI data type and the OID or URL is sent in component 3, with component 4 identifying whether the OID or URL approach was used.</w:t>
      </w:r>
    </w:p>
    <w:p w14:paraId="69E01895" w14:textId="31F2FE6F" w:rsidR="00D82366" w:rsidRDefault="005F75F9" w:rsidP="00D82366">
      <w:pPr>
        <w:spacing w:before="100" w:beforeAutospacing="1" w:after="100" w:afterAutospacing="1" w:line="240" w:lineRule="auto"/>
        <w:rPr>
          <w:rFonts w:eastAsia="Times New Roman"/>
          <w:lang w:val="en-US" w:eastAsia="en-CA"/>
        </w:rPr>
      </w:pPr>
      <w:r w:rsidRPr="00582636">
        <w:rPr>
          <w:rFonts w:eastAsia="Times New Roman"/>
          <w:lang w:val="en-US" w:eastAsia="en-CA"/>
        </w:rPr>
        <w:t>PRT</w:t>
      </w:r>
      <w:r>
        <w:rPr>
          <w:rFonts w:eastAsia="Times New Roman"/>
          <w:lang w:val="en-US" w:eastAsia="en-CA"/>
        </w:rPr>
        <w:t>-</w:t>
      </w:r>
      <w:r w:rsidRPr="00582636">
        <w:rPr>
          <w:rFonts w:eastAsia="Times New Roman"/>
          <w:lang w:val="en-US" w:eastAsia="en-CA"/>
        </w:rPr>
        <w:t>10:</w:t>
      </w:r>
      <w:r w:rsidRPr="00582636">
        <w:rPr>
          <w:rFonts w:eastAsia="Times New Roman"/>
          <w:lang w:val="en-US" w:eastAsia="en-CA"/>
        </w:rPr>
        <w:tab/>
      </w:r>
      <w:r w:rsidRPr="00582636">
        <w:rPr>
          <w:rFonts w:eastAsia="Times New Roman"/>
          <w:lang w:val="en-US" w:eastAsia="en-CA"/>
        </w:rPr>
        <w:tab/>
        <w:t>|</w:t>
      </w:r>
      <w:r>
        <w:rPr>
          <w:rFonts w:eastAsia="Times New Roman"/>
          <w:lang w:val="en-US" w:eastAsia="en-CA"/>
        </w:rPr>
        <w:t>{</w:t>
      </w:r>
      <w:r w:rsidRPr="008F6766">
        <w:rPr>
          <w:rFonts w:eastAsia="Times New Roman"/>
          <w:lang w:val="en-US" w:eastAsia="en-CA"/>
        </w:rPr>
        <w:t>01</w:t>
      </w:r>
      <w:r>
        <w:rPr>
          <w:rFonts w:eastAsia="Times New Roman"/>
          <w:lang w:val="en-US" w:eastAsia="en-CA"/>
        </w:rPr>
        <w:t>}</w:t>
      </w:r>
      <w:r w:rsidRPr="008F6766">
        <w:rPr>
          <w:rFonts w:eastAsia="Times New Roman"/>
          <w:lang w:val="en-US" w:eastAsia="en-CA"/>
        </w:rPr>
        <w:t>00643169001763</w:t>
      </w:r>
      <w:r>
        <w:rPr>
          <w:rFonts w:eastAsia="Times New Roman"/>
          <w:lang w:val="en-US" w:eastAsia="en-CA"/>
        </w:rPr>
        <w:t>{</w:t>
      </w:r>
      <w:r w:rsidRPr="008F6766">
        <w:rPr>
          <w:rFonts w:eastAsia="Times New Roman"/>
          <w:lang w:val="en-US" w:eastAsia="en-CA"/>
        </w:rPr>
        <w:t>17</w:t>
      </w:r>
      <w:r>
        <w:rPr>
          <w:rFonts w:eastAsia="Times New Roman"/>
          <w:lang w:val="en-US" w:eastAsia="en-CA"/>
        </w:rPr>
        <w:t>}</w:t>
      </w:r>
      <w:r w:rsidRPr="008F6766">
        <w:rPr>
          <w:rFonts w:eastAsia="Times New Roman"/>
          <w:lang w:val="en-US" w:eastAsia="en-CA"/>
        </w:rPr>
        <w:t>160712</w:t>
      </w:r>
      <w:r>
        <w:rPr>
          <w:rFonts w:eastAsia="Times New Roman"/>
          <w:lang w:val="en-US" w:eastAsia="en-CA"/>
        </w:rPr>
        <w:t>{</w:t>
      </w:r>
      <w:r w:rsidRPr="008F6766">
        <w:rPr>
          <w:rFonts w:eastAsia="Times New Roman"/>
          <w:lang w:val="en-US" w:eastAsia="en-CA"/>
        </w:rPr>
        <w:t>21</w:t>
      </w:r>
      <w:r>
        <w:rPr>
          <w:rFonts w:eastAsia="Times New Roman"/>
          <w:lang w:val="en-US" w:eastAsia="en-CA"/>
        </w:rPr>
        <w:t>}</w:t>
      </w:r>
      <w:r w:rsidRPr="008F6766">
        <w:rPr>
          <w:rFonts w:eastAsia="Times New Roman"/>
          <w:lang w:val="en-US" w:eastAsia="en-CA"/>
        </w:rPr>
        <w:t>21A11F4855^^2.16.840.1.113883.3.3719^ISO|</w:t>
      </w:r>
      <w:r w:rsidR="00134EC9">
        <w:rPr>
          <w:rFonts w:eastAsia="Times New Roman"/>
          <w:lang w:val="en-US" w:eastAsia="en-CA"/>
        </w:rPr>
        <w:br/>
        <w:t>or</w:t>
      </w:r>
      <w:r w:rsidR="00134EC9">
        <w:rPr>
          <w:rFonts w:eastAsia="Times New Roman"/>
          <w:lang w:val="en-US" w:eastAsia="en-CA"/>
        </w:rPr>
        <w:br/>
      </w:r>
      <w:r w:rsidR="00D82366" w:rsidRPr="00582636">
        <w:rPr>
          <w:rFonts w:eastAsia="Times New Roman"/>
          <w:lang w:val="en-US" w:eastAsia="en-CA"/>
        </w:rPr>
        <w:t>PRT</w:t>
      </w:r>
      <w:r w:rsidR="00D82366">
        <w:rPr>
          <w:rFonts w:eastAsia="Times New Roman"/>
          <w:lang w:val="en-US" w:eastAsia="en-CA"/>
        </w:rPr>
        <w:t>-</w:t>
      </w:r>
      <w:r w:rsidR="00D82366" w:rsidRPr="00582636">
        <w:rPr>
          <w:rFonts w:eastAsia="Times New Roman"/>
          <w:lang w:val="en-US" w:eastAsia="en-CA"/>
        </w:rPr>
        <w:t>10:</w:t>
      </w:r>
      <w:r w:rsidR="00D82366" w:rsidRPr="00582636">
        <w:rPr>
          <w:rFonts w:eastAsia="Times New Roman"/>
          <w:lang w:val="en-US" w:eastAsia="en-CA"/>
        </w:rPr>
        <w:tab/>
      </w:r>
      <w:r w:rsidR="00D82366" w:rsidRPr="00582636">
        <w:rPr>
          <w:rFonts w:eastAsia="Times New Roman"/>
          <w:lang w:val="en-US" w:eastAsia="en-CA"/>
        </w:rPr>
        <w:tab/>
        <w:t>|</w:t>
      </w:r>
      <w:r w:rsidR="00D82366">
        <w:rPr>
          <w:rFonts w:eastAsia="Times New Roman"/>
          <w:lang w:val="en-US" w:eastAsia="en-CA"/>
        </w:rPr>
        <w:t>{</w:t>
      </w:r>
      <w:r w:rsidR="00D82366" w:rsidRPr="008F6766">
        <w:rPr>
          <w:rFonts w:eastAsia="Times New Roman"/>
          <w:lang w:val="en-US" w:eastAsia="en-CA"/>
        </w:rPr>
        <w:t>01</w:t>
      </w:r>
      <w:r w:rsidR="00D82366">
        <w:rPr>
          <w:rFonts w:eastAsia="Times New Roman"/>
          <w:lang w:val="en-US" w:eastAsia="en-CA"/>
        </w:rPr>
        <w:t>}</w:t>
      </w:r>
      <w:r w:rsidR="00D82366" w:rsidRPr="008F6766">
        <w:rPr>
          <w:rFonts w:eastAsia="Times New Roman"/>
          <w:lang w:val="en-US" w:eastAsia="en-CA"/>
        </w:rPr>
        <w:t>00643169001763</w:t>
      </w:r>
      <w:r w:rsidR="00D82366">
        <w:rPr>
          <w:rFonts w:eastAsia="Times New Roman"/>
          <w:lang w:val="en-US" w:eastAsia="en-CA"/>
        </w:rPr>
        <w:t>{</w:t>
      </w:r>
      <w:r w:rsidR="00D82366" w:rsidRPr="008F6766">
        <w:rPr>
          <w:rFonts w:eastAsia="Times New Roman"/>
          <w:lang w:val="en-US" w:eastAsia="en-CA"/>
        </w:rPr>
        <w:t>17</w:t>
      </w:r>
      <w:r w:rsidR="00D82366">
        <w:rPr>
          <w:rFonts w:eastAsia="Times New Roman"/>
          <w:lang w:val="en-US" w:eastAsia="en-CA"/>
        </w:rPr>
        <w:t>}</w:t>
      </w:r>
      <w:r w:rsidR="00D82366" w:rsidRPr="008F6766">
        <w:rPr>
          <w:rFonts w:eastAsia="Times New Roman"/>
          <w:lang w:val="en-US" w:eastAsia="en-CA"/>
        </w:rPr>
        <w:t>160712</w:t>
      </w:r>
      <w:r w:rsidR="00D82366">
        <w:rPr>
          <w:rFonts w:eastAsia="Times New Roman"/>
          <w:lang w:val="en-US" w:eastAsia="en-CA"/>
        </w:rPr>
        <w:t>{</w:t>
      </w:r>
      <w:r w:rsidR="00D82366" w:rsidRPr="008F6766">
        <w:rPr>
          <w:rFonts w:eastAsia="Times New Roman"/>
          <w:lang w:val="en-US" w:eastAsia="en-CA"/>
        </w:rPr>
        <w:t>21</w:t>
      </w:r>
      <w:r w:rsidR="00D82366">
        <w:rPr>
          <w:rFonts w:eastAsia="Times New Roman"/>
          <w:lang w:val="en-US" w:eastAsia="en-CA"/>
        </w:rPr>
        <w:t>}</w:t>
      </w:r>
      <w:r w:rsidR="00D82366" w:rsidRPr="008F6766">
        <w:rPr>
          <w:rFonts w:eastAsia="Times New Roman"/>
          <w:lang w:val="en-US" w:eastAsia="en-CA"/>
        </w:rPr>
        <w:t>21A11F4855^^</w:t>
      </w:r>
      <w:r w:rsidR="00D82366">
        <w:rPr>
          <w:rFonts w:eastAsia="Times New Roman"/>
          <w:lang w:val="en-US" w:eastAsia="en-CA"/>
        </w:rPr>
        <w:t>http://hl7.org/</w:t>
      </w:r>
      <w:r w:rsidR="00C85936">
        <w:rPr>
          <w:rFonts w:eastAsia="Times New Roman"/>
          <w:lang w:val="en-US" w:eastAsia="en-CA"/>
        </w:rPr>
        <w:t>fhir/</w:t>
      </w:r>
      <w:r w:rsidR="00D82366">
        <w:rPr>
          <w:rFonts w:eastAsia="Times New Roman"/>
          <w:lang w:val="en-US" w:eastAsia="en-CA"/>
        </w:rPr>
        <w:t>NamingSystem/fda-udi</w:t>
      </w:r>
      <w:r w:rsidR="00D82366" w:rsidRPr="008F6766">
        <w:rPr>
          <w:rFonts w:eastAsia="Times New Roman"/>
          <w:lang w:val="en-US" w:eastAsia="en-CA"/>
        </w:rPr>
        <w:t>^</w:t>
      </w:r>
      <w:r w:rsidR="00D82366">
        <w:rPr>
          <w:rFonts w:eastAsia="Times New Roman"/>
          <w:lang w:val="en-US" w:eastAsia="en-CA"/>
        </w:rPr>
        <w:t>URI</w:t>
      </w:r>
      <w:r w:rsidR="00D82366" w:rsidRPr="008F6766">
        <w:rPr>
          <w:rFonts w:eastAsia="Times New Roman"/>
          <w:lang w:val="en-US" w:eastAsia="en-CA"/>
        </w:rPr>
        <w:t>|</w:t>
      </w:r>
    </w:p>
    <w:p w14:paraId="69C0670C" w14:textId="4EC91DE8" w:rsidR="00F261A9" w:rsidRDefault="00C85936" w:rsidP="005F75F9">
      <w:pPr>
        <w:spacing w:before="100" w:beforeAutospacing="1" w:after="100" w:afterAutospacing="1" w:line="240" w:lineRule="auto"/>
        <w:rPr>
          <w:rFonts w:eastAsia="Times New Roman"/>
          <w:lang w:val="en-US" w:eastAsia="en-CA"/>
        </w:rPr>
      </w:pPr>
      <w:r>
        <w:rPr>
          <w:rFonts w:eastAsia="Times New Roman"/>
          <w:lang w:val="en-US" w:eastAsia="en-CA"/>
        </w:rPr>
        <w:t xml:space="preserve">In PRT-22, the both a primary and a secondary code may be transmitted and which components are used depends on whether the value is being conveyed as a primary or secondary code.  The UDI </w:t>
      </w:r>
      <w:r w:rsidR="00DD0165">
        <w:rPr>
          <w:rFonts w:eastAsia="Times New Roman"/>
          <w:lang w:val="en-US" w:eastAsia="en-CA"/>
        </w:rPr>
        <w:t xml:space="preserve">string </w:t>
      </w:r>
      <w:r>
        <w:rPr>
          <w:rFonts w:eastAsia="Times New Roman"/>
          <w:lang w:val="en-US" w:eastAsia="en-CA"/>
        </w:rPr>
        <w:t xml:space="preserve">value will go in either component 1 or 4.  A code system name, if known, must be sent in either component 3 or 5.  </w:t>
      </w:r>
    </w:p>
    <w:p w14:paraId="0A1BA04E" w14:textId="5010FD79" w:rsidR="005F75F9" w:rsidRPr="008F6766" w:rsidRDefault="005F75F9" w:rsidP="005F75F9">
      <w:pPr>
        <w:spacing w:before="100" w:beforeAutospacing="1" w:after="100" w:afterAutospacing="1" w:line="240" w:lineRule="auto"/>
        <w:rPr>
          <w:rFonts w:eastAsia="Times New Roman"/>
          <w:lang w:val="en-US" w:eastAsia="en-CA"/>
        </w:rPr>
      </w:pPr>
      <w:r>
        <w:rPr>
          <w:rFonts w:eastAsia="Times New Roman"/>
          <w:lang w:val="en-US" w:eastAsia="en-CA"/>
        </w:rPr>
        <w:t xml:space="preserve">PRT-22: </w:t>
      </w:r>
      <w:r>
        <w:rPr>
          <w:rFonts w:eastAsia="Times New Roman"/>
          <w:lang w:val="en-US" w:eastAsia="en-CA"/>
        </w:rPr>
        <w:tab/>
      </w:r>
      <w:r w:rsidRPr="00582636">
        <w:rPr>
          <w:rFonts w:eastAsia="Times New Roman"/>
          <w:lang w:val="en-US" w:eastAsia="en-CA"/>
        </w:rPr>
        <w:t>|</w:t>
      </w:r>
      <w:r>
        <w:rPr>
          <w:rFonts w:eastAsia="Times New Roman"/>
          <w:lang w:val="en-US" w:eastAsia="en-CA"/>
        </w:rPr>
        <w:t>{</w:t>
      </w:r>
      <w:r w:rsidRPr="008F6766">
        <w:rPr>
          <w:rFonts w:eastAsia="Times New Roman"/>
          <w:lang w:val="en-US" w:eastAsia="en-CA"/>
        </w:rPr>
        <w:t>01</w:t>
      </w:r>
      <w:r>
        <w:rPr>
          <w:rFonts w:eastAsia="Times New Roman"/>
          <w:lang w:val="en-US" w:eastAsia="en-CA"/>
        </w:rPr>
        <w:t>}</w:t>
      </w:r>
      <w:r w:rsidRPr="008F6766">
        <w:rPr>
          <w:rFonts w:eastAsia="Times New Roman"/>
          <w:lang w:val="en-US" w:eastAsia="en-CA"/>
        </w:rPr>
        <w:t>00643169001763</w:t>
      </w:r>
      <w:r>
        <w:rPr>
          <w:rFonts w:eastAsia="Times New Roman"/>
          <w:lang w:val="en-US" w:eastAsia="en-CA"/>
        </w:rPr>
        <w:t>{</w:t>
      </w:r>
      <w:r w:rsidRPr="008F6766">
        <w:rPr>
          <w:rFonts w:eastAsia="Times New Roman"/>
          <w:lang w:val="en-US" w:eastAsia="en-CA"/>
        </w:rPr>
        <w:t>17</w:t>
      </w:r>
      <w:r>
        <w:rPr>
          <w:rFonts w:eastAsia="Times New Roman"/>
          <w:lang w:val="en-US" w:eastAsia="en-CA"/>
        </w:rPr>
        <w:t>}</w:t>
      </w:r>
      <w:r w:rsidRPr="008F6766">
        <w:rPr>
          <w:rFonts w:eastAsia="Times New Roman"/>
          <w:lang w:val="en-US" w:eastAsia="en-CA"/>
        </w:rPr>
        <w:t>160712</w:t>
      </w:r>
      <w:r>
        <w:rPr>
          <w:rFonts w:eastAsia="Times New Roman"/>
          <w:lang w:val="en-US" w:eastAsia="en-CA"/>
        </w:rPr>
        <w:t>^^FDAUDI</w:t>
      </w:r>
      <w:r w:rsidR="00D82366">
        <w:rPr>
          <w:rFonts w:eastAsia="Times New Roman"/>
          <w:lang w:val="en-US" w:eastAsia="en-CA"/>
        </w:rPr>
        <w:t>^^^^^^^^^^^</w:t>
      </w:r>
      <w:r w:rsidR="00D82366" w:rsidRPr="008F6766">
        <w:rPr>
          <w:rFonts w:eastAsia="Times New Roman"/>
          <w:lang w:val="en-US" w:eastAsia="en-CA"/>
        </w:rPr>
        <w:t>2.16.840.1.113883.3.3719</w:t>
      </w:r>
      <w:r w:rsidRPr="008F6766">
        <w:rPr>
          <w:rFonts w:eastAsia="Times New Roman"/>
          <w:lang w:val="en-US" w:eastAsia="en-CA"/>
        </w:rPr>
        <w:t>|</w:t>
      </w:r>
    </w:p>
    <w:p w14:paraId="4807BF26" w14:textId="77ACFFFB" w:rsidR="00A05E4F" w:rsidRDefault="00A05E4F" w:rsidP="005F75F9">
      <w:pPr>
        <w:spacing w:after="0"/>
      </w:pPr>
      <w:r>
        <w:t>Note that v2 escaping techniques will be needed to convey non-printable characters within an AIDC</w:t>
      </w:r>
      <w:r w:rsidR="00A9008B">
        <w:t>.</w:t>
      </w:r>
    </w:p>
    <w:p w14:paraId="6665F64C" w14:textId="77777777" w:rsidR="00A05E4F" w:rsidRDefault="00A05E4F" w:rsidP="005F75F9">
      <w:pPr>
        <w:spacing w:after="0"/>
      </w:pPr>
    </w:p>
    <w:p w14:paraId="60E176B3" w14:textId="2EB9E63E" w:rsidR="005F75F9" w:rsidRDefault="00F261A9" w:rsidP="005F75F9">
      <w:pPr>
        <w:spacing w:after="0"/>
      </w:pPr>
      <w:r>
        <w:t>T</w:t>
      </w:r>
      <w:r w:rsidR="005F75F9">
        <w:t xml:space="preserve">he UDI elements </w:t>
      </w:r>
      <w:r>
        <w:t>shall be conveyed using</w:t>
      </w:r>
      <w:r w:rsidR="005F75F9">
        <w:t xml:space="preserve"> PRT-16 through PRT-21. These elements are documented in V2.8.2 and later.</w:t>
      </w:r>
      <w:r w:rsidR="00D82366">
        <w:t xml:space="preserve">  The correspondence is as fo</w:t>
      </w:r>
      <w:r w:rsidR="00A9008B">
        <w:t>llows:</w:t>
      </w:r>
    </w:p>
    <w:p w14:paraId="785353B1" w14:textId="3F81A648" w:rsidR="005B3CA4" w:rsidRDefault="005B3CA4" w:rsidP="005F75F9">
      <w:pPr>
        <w:spacing w:after="0"/>
      </w:pPr>
      <w:r>
        <w:t>PR</w:t>
      </w:r>
      <w:r w:rsidR="00F503FB">
        <w:t>T</w:t>
      </w:r>
      <w:r>
        <w:t xml:space="preserve">-16 – </w:t>
      </w:r>
      <w:r w:rsidR="00B62FA4">
        <w:t>DI goes into component 1.  If known, the OID or URI for the namespace of the DI goes into component 3, with component 4 set to either “ISO” (for OIDs) or “URI”</w:t>
      </w:r>
    </w:p>
    <w:p w14:paraId="0C9BEDE4" w14:textId="6BD4FD9B" w:rsidR="005B3CA4" w:rsidRDefault="005B3CA4" w:rsidP="005F75F9">
      <w:pPr>
        <w:spacing w:after="0"/>
      </w:pPr>
      <w:r>
        <w:t xml:space="preserve">PRT-17 – </w:t>
      </w:r>
      <w:r w:rsidR="004113B2">
        <w:t>manufacture is converted to the syntax yyyymmdd[hh]</w:t>
      </w:r>
    </w:p>
    <w:p w14:paraId="2DE02F3F" w14:textId="3FD2596A" w:rsidR="005B3CA4" w:rsidRDefault="005B3CA4" w:rsidP="005F75F9">
      <w:pPr>
        <w:spacing w:after="0"/>
      </w:pPr>
      <w:r>
        <w:t xml:space="preserve">PRT-18 – </w:t>
      </w:r>
      <w:r w:rsidR="004113B2">
        <w:t>expiration is converted to the syntax yyyymmdd[hh]</w:t>
      </w:r>
    </w:p>
    <w:p w14:paraId="10B8D80C" w14:textId="72610F23" w:rsidR="005B3CA4" w:rsidRDefault="005B3CA4" w:rsidP="005F75F9">
      <w:pPr>
        <w:spacing w:after="0"/>
      </w:pPr>
      <w:r>
        <w:t xml:space="preserve">PRT-19 – </w:t>
      </w:r>
      <w:r w:rsidR="00AA2F3F">
        <w:t>lot</w:t>
      </w:r>
    </w:p>
    <w:p w14:paraId="1793D010" w14:textId="5EF924B4" w:rsidR="005B3CA4" w:rsidRDefault="005B3CA4" w:rsidP="005F75F9">
      <w:pPr>
        <w:spacing w:after="0"/>
      </w:pPr>
      <w:r>
        <w:t xml:space="preserve">PRT-20 – </w:t>
      </w:r>
      <w:r w:rsidR="00AA2F3F">
        <w:t>serial</w:t>
      </w:r>
    </w:p>
    <w:p w14:paraId="0BB60FFE" w14:textId="65122143" w:rsidR="006E32C6" w:rsidRPr="00582636" w:rsidRDefault="005B3CA4" w:rsidP="00E21ED6">
      <w:pPr>
        <w:spacing w:after="0"/>
      </w:pPr>
      <w:r>
        <w:t xml:space="preserve">PRT-21 – </w:t>
      </w:r>
      <w:r w:rsidR="00AB4463">
        <w:t>DIN</w:t>
      </w:r>
      <w:r w:rsidR="00AA2F3F">
        <w:t xml:space="preserve"> goes into component 1.  If known, the OID or URI for the namespace of the DIN goes into component 3, with component 4 set to either “ISO” (for OIDs) or “URI”</w:t>
      </w:r>
      <w:r w:rsidR="005F75F9">
        <w:br w:type="page"/>
      </w:r>
      <w:r w:rsidR="006E32C6" w:rsidRPr="00582636">
        <w:lastRenderedPageBreak/>
        <w:t>V3</w:t>
      </w:r>
    </w:p>
    <w:p w14:paraId="62904AAE" w14:textId="77777777" w:rsidR="006E32C6" w:rsidRDefault="006E32C6" w:rsidP="00580BD3">
      <w:pPr>
        <w:spacing w:after="0"/>
      </w:pPr>
    </w:p>
    <w:p w14:paraId="548DD305" w14:textId="1F1D6735" w:rsidR="006E32C6" w:rsidRDefault="00632D74" w:rsidP="00580BD3">
      <w:pPr>
        <w:spacing w:after="0"/>
      </w:pPr>
      <w:r>
        <w:rPr>
          <w:noProof/>
          <w:lang w:eastAsia="en-CA"/>
        </w:rPr>
        <w:drawing>
          <wp:inline distT="0" distB="0" distL="0" distR="0" wp14:anchorId="2F73B5C9" wp14:editId="7D040AC0">
            <wp:extent cx="6858000" cy="1344295"/>
            <wp:effectExtent l="0" t="0" r="0" b="0"/>
            <wp:docPr id="4" name="Picture 4" descr="V3_RIM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V3_RIM_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858000" cy="1344295"/>
                    </a:xfrm>
                    <a:prstGeom prst="rect">
                      <a:avLst/>
                    </a:prstGeom>
                    <a:noFill/>
                    <a:ln>
                      <a:noFill/>
                    </a:ln>
                  </pic:spPr>
                </pic:pic>
              </a:graphicData>
            </a:graphic>
          </wp:inline>
        </w:drawing>
      </w:r>
    </w:p>
    <w:p w14:paraId="5FE5508A" w14:textId="77777777" w:rsidR="006E32C6" w:rsidRDefault="006E32C6" w:rsidP="00580BD3">
      <w:pPr>
        <w:spacing w:after="0"/>
        <w:rPr>
          <w:b/>
        </w:rPr>
      </w:pPr>
    </w:p>
    <w:p w14:paraId="3B42F363" w14:textId="6F9448F7" w:rsidR="00E31836" w:rsidRPr="003527B3" w:rsidRDefault="00E31836" w:rsidP="00580BD3">
      <w:pPr>
        <w:spacing w:after="0"/>
        <w:rPr>
          <w:b/>
          <w:i/>
        </w:rPr>
      </w:pPr>
      <w:r w:rsidRPr="009B764D">
        <w:rPr>
          <w:b/>
          <w:i/>
          <w:highlight w:val="yellow"/>
        </w:rPr>
        <w:t>[</w:t>
      </w:r>
      <w:r w:rsidR="00D524C2">
        <w:rPr>
          <w:b/>
          <w:i/>
          <w:highlight w:val="yellow"/>
        </w:rPr>
        <w:t xml:space="preserve">The above diagram requires updating to convey that </w:t>
      </w:r>
      <w:r w:rsidRPr="009B764D">
        <w:rPr>
          <w:b/>
          <w:i/>
          <w:highlight w:val="yellow"/>
        </w:rPr>
        <w:t>the serial number can be represented using an IdentifiedEntity role where the roleCode indicates that it is a sequence or serial number and the serial number value appears in id.extension]</w:t>
      </w:r>
    </w:p>
    <w:p w14:paraId="127FE1C1" w14:textId="77777777" w:rsidR="00E31836" w:rsidRDefault="00E31836" w:rsidP="00580BD3">
      <w:pPr>
        <w:spacing w:after="0"/>
        <w:rPr>
          <w:b/>
        </w:rPr>
      </w:pPr>
    </w:p>
    <w:p w14:paraId="0E677AE9" w14:textId="7F153990" w:rsidR="007A066C" w:rsidRDefault="00E908B3">
      <w:pPr>
        <w:spacing w:after="0"/>
      </w:pPr>
      <w:r>
        <w:t xml:space="preserve">If the </w:t>
      </w:r>
      <w:r w:rsidR="008072E7">
        <w:t>UDI has been parsed and</w:t>
      </w:r>
      <w:r w:rsidR="00E31836">
        <w:t xml:space="preserve"> </w:t>
      </w:r>
      <w:r>
        <w:t>contains a Serial Number or is otherwise known to represent</w:t>
      </w:r>
      <w:r w:rsidR="007D1761">
        <w:t xml:space="preserve"> a unique instance identifier, it shall be stored in the </w:t>
      </w:r>
      <w:r w:rsidR="003704DB">
        <w:rPr>
          <w:b/>
        </w:rPr>
        <w:t xml:space="preserve">Device.id </w:t>
      </w:r>
      <w:r w:rsidR="007D1761">
        <w:t>element</w:t>
      </w:r>
      <w:r w:rsidR="007A066C">
        <w:t xml:space="preserve"> using the “extension” for the </w:t>
      </w:r>
      <w:r w:rsidR="008072E7">
        <w:t>UDI</w:t>
      </w:r>
      <w:r w:rsidR="007A066C">
        <w:t xml:space="preserve"> and the “root” for the OID</w:t>
      </w:r>
      <w:r w:rsidR="007D1761">
        <w:t xml:space="preserve">. Otherwise, the </w:t>
      </w:r>
      <w:r>
        <w:t xml:space="preserve">UDI </w:t>
      </w:r>
      <w:r w:rsidR="004C47A1">
        <w:t xml:space="preserve">carrier </w:t>
      </w:r>
      <w:r w:rsidR="007D1761">
        <w:t xml:space="preserve">shall be stored in the </w:t>
      </w:r>
      <w:r w:rsidR="003704DB">
        <w:rPr>
          <w:b/>
        </w:rPr>
        <w:t>Device.cod</w:t>
      </w:r>
      <w:r w:rsidR="007D1761">
        <w:rPr>
          <w:b/>
        </w:rPr>
        <w:t>e</w:t>
      </w:r>
      <w:r w:rsidR="007D1761">
        <w:t xml:space="preserve"> element</w:t>
      </w:r>
      <w:r w:rsidR="007A066C">
        <w:t xml:space="preserve"> either in the root or one of the translations with the UDI in the “code” element and the OID in the “system” element, with no display value</w:t>
      </w:r>
      <w:r w:rsidR="007D1761">
        <w:t xml:space="preserve">. </w:t>
      </w:r>
      <w:r w:rsidR="00DF0DED">
        <w:t>Because of constraints on valid characters within XML, the AIDC identifier cannot be conveyed in CDA.</w:t>
      </w:r>
    </w:p>
    <w:p w14:paraId="474AE51F" w14:textId="77777777" w:rsidR="007A066C" w:rsidRDefault="007A066C">
      <w:pPr>
        <w:spacing w:after="0"/>
      </w:pPr>
    </w:p>
    <w:p w14:paraId="45ADF5BB" w14:textId="32E2F12C" w:rsidR="00E908B3" w:rsidRDefault="00E908B3">
      <w:pPr>
        <w:spacing w:after="0"/>
      </w:pPr>
      <w:r>
        <w:t xml:space="preserve">Because of XML limitations, only the HRF representation can be stored.  XML encoding rules prohibit transmission of control codes and there is no appropriate v3 element to transmit an escaped version of the AIDC.  </w:t>
      </w:r>
      <w:r w:rsidR="007D1761">
        <w:t xml:space="preserve">Note </w:t>
      </w:r>
      <w:r w:rsidR="003704DB">
        <w:t xml:space="preserve">that a </w:t>
      </w:r>
      <w:r w:rsidR="009725BF">
        <w:t>HRF</w:t>
      </w:r>
      <w:r w:rsidR="003704DB">
        <w:t xml:space="preserve"> may be used in a Device.code</w:t>
      </w:r>
      <w:r w:rsidR="007D1761">
        <w:t xml:space="preserve"> element even if it contains a serial number.</w:t>
      </w:r>
      <w:r w:rsidR="003704DB">
        <w:t xml:space="preserve"> </w:t>
      </w:r>
    </w:p>
    <w:p w14:paraId="795D148C" w14:textId="77777777" w:rsidR="00E908B3" w:rsidRDefault="00E908B3">
      <w:pPr>
        <w:spacing w:after="0"/>
      </w:pPr>
    </w:p>
    <w:p w14:paraId="35D529F2" w14:textId="47D20634" w:rsidR="006E32C6" w:rsidRDefault="006E32C6" w:rsidP="006E32C6">
      <w:pPr>
        <w:spacing w:after="0"/>
      </w:pPr>
      <w:r>
        <w:t xml:space="preserve">The DI shall be stored in the </w:t>
      </w:r>
      <w:r w:rsidR="00FB7767">
        <w:rPr>
          <w:b/>
        </w:rPr>
        <w:t>Device.</w:t>
      </w:r>
      <w:r w:rsidR="001B0729">
        <w:rPr>
          <w:b/>
        </w:rPr>
        <w:t>code</w:t>
      </w:r>
      <w:r w:rsidR="001B0729">
        <w:t xml:space="preserve"> </w:t>
      </w:r>
      <w:r>
        <w:t>element</w:t>
      </w:r>
      <w:r w:rsidR="007A066C">
        <w:t xml:space="preserve"> in either the root or as a </w:t>
      </w:r>
      <w:r w:rsidR="008072E7">
        <w:t>CD.</w:t>
      </w:r>
      <w:r w:rsidR="007A066C">
        <w:t>translation with the DI value as the “code” element and the OID conveyed in the “system” element</w:t>
      </w:r>
      <w:r>
        <w:t>.</w:t>
      </w:r>
    </w:p>
    <w:p w14:paraId="4DB6E9F4" w14:textId="778876FF" w:rsidR="006E32C6" w:rsidRDefault="006E32C6" w:rsidP="006E32C6">
      <w:pPr>
        <w:spacing w:after="0"/>
      </w:pPr>
      <w:r>
        <w:t xml:space="preserve">The manufacture date shall be stored in the low value of the </w:t>
      </w:r>
      <w:r w:rsidR="00184AEC">
        <w:rPr>
          <w:b/>
        </w:rPr>
        <w:t>Device</w:t>
      </w:r>
      <w:r w:rsidRPr="006E32C6">
        <w:rPr>
          <w:b/>
        </w:rPr>
        <w:t>.existenceTime</w:t>
      </w:r>
      <w:r>
        <w:t xml:space="preserve"> element </w:t>
      </w:r>
      <w:r w:rsidR="007A066C">
        <w:t>converted to the syntax YYYYMMDD[HH]</w:t>
      </w:r>
      <w:r>
        <w:t>.</w:t>
      </w:r>
    </w:p>
    <w:p w14:paraId="7D3A0297" w14:textId="01796D35" w:rsidR="006E32C6" w:rsidRDefault="006E32C6" w:rsidP="006E32C6">
      <w:pPr>
        <w:spacing w:after="0"/>
      </w:pPr>
      <w:r>
        <w:t xml:space="preserve">The expiry date shall be stored in the high value of the </w:t>
      </w:r>
      <w:r w:rsidR="00184AEC">
        <w:rPr>
          <w:b/>
        </w:rPr>
        <w:t>Device</w:t>
      </w:r>
      <w:r w:rsidR="00F64BB5" w:rsidRPr="006E32C6">
        <w:rPr>
          <w:b/>
        </w:rPr>
        <w:t>.</w:t>
      </w:r>
      <w:r w:rsidR="00F64BB5">
        <w:rPr>
          <w:b/>
        </w:rPr>
        <w:t>expiration</w:t>
      </w:r>
      <w:r w:rsidRPr="006E32C6">
        <w:rPr>
          <w:b/>
        </w:rPr>
        <w:t>Time</w:t>
      </w:r>
      <w:r>
        <w:t xml:space="preserve"> element</w:t>
      </w:r>
      <w:r w:rsidR="007A066C" w:rsidRPr="007A066C">
        <w:t xml:space="preserve"> </w:t>
      </w:r>
      <w:r w:rsidR="007A066C">
        <w:t>converted to the syntax YYYYMMDD[HH]</w:t>
      </w:r>
      <w:r>
        <w:t>.</w:t>
      </w:r>
    </w:p>
    <w:p w14:paraId="3582499A" w14:textId="77777777" w:rsidR="006E32C6" w:rsidRDefault="006E32C6" w:rsidP="006E32C6">
      <w:pPr>
        <w:spacing w:after="0"/>
      </w:pPr>
      <w:r>
        <w:t xml:space="preserve">The lot shall be stored in the </w:t>
      </w:r>
      <w:r w:rsidR="00184AEC">
        <w:rPr>
          <w:b/>
        </w:rPr>
        <w:t>Device</w:t>
      </w:r>
      <w:r w:rsidR="00F64BB5" w:rsidRPr="006E32C6">
        <w:rPr>
          <w:b/>
        </w:rPr>
        <w:t>.</w:t>
      </w:r>
      <w:r w:rsidRPr="006E32C6">
        <w:rPr>
          <w:b/>
        </w:rPr>
        <w:t>lotNumberText</w:t>
      </w:r>
      <w:r>
        <w:t xml:space="preserve"> element.</w:t>
      </w:r>
    </w:p>
    <w:p w14:paraId="73887DDD" w14:textId="77777777" w:rsidR="00FB7767" w:rsidRDefault="00FB7767" w:rsidP="006E32C6">
      <w:pPr>
        <w:spacing w:after="0"/>
      </w:pPr>
    </w:p>
    <w:p w14:paraId="11F84A74" w14:textId="73259BA1" w:rsidR="006E32C6" w:rsidRDefault="006E32C6" w:rsidP="006E32C6">
      <w:pPr>
        <w:spacing w:after="0"/>
      </w:pPr>
      <w:r>
        <w:t>The Don</w:t>
      </w:r>
      <w:r w:rsidR="00F503FB">
        <w:t>ation</w:t>
      </w:r>
      <w:r>
        <w:t xml:space="preserve"> Identification Number shall be stored in the</w:t>
      </w:r>
      <w:r w:rsidR="007A066C">
        <w:t xml:space="preserve"> “value” element of</w:t>
      </w:r>
      <w:r>
        <w:t xml:space="preserve"> </w:t>
      </w:r>
      <w:r w:rsidR="00184AEC">
        <w:rPr>
          <w:b/>
        </w:rPr>
        <w:t>SubstanceExtractionEvent</w:t>
      </w:r>
      <w:r w:rsidRPr="006E32C6">
        <w:rPr>
          <w:b/>
        </w:rPr>
        <w:t>.</w:t>
      </w:r>
      <w:r w:rsidR="00184AEC">
        <w:rPr>
          <w:b/>
        </w:rPr>
        <w:t>id</w:t>
      </w:r>
      <w:r w:rsidR="00184AEC">
        <w:t xml:space="preserve"> </w:t>
      </w:r>
      <w:r>
        <w:t xml:space="preserve">with the root set to </w:t>
      </w:r>
      <w:r w:rsidR="007A066C">
        <w:t>the OID</w:t>
      </w:r>
      <w:r>
        <w:t xml:space="preserve"> and t</w:t>
      </w:r>
      <w:r w:rsidR="006B3281">
        <w:t>he extension to the actual Donation Identification</w:t>
      </w:r>
      <w:r>
        <w:t xml:space="preserve"> Number.</w:t>
      </w:r>
    </w:p>
    <w:p w14:paraId="28FB501D" w14:textId="4C3D37E2" w:rsidR="007A066C" w:rsidRDefault="007A066C" w:rsidP="006E32C6">
      <w:pPr>
        <w:spacing w:after="0"/>
      </w:pPr>
    </w:p>
    <w:p w14:paraId="6395C0A7" w14:textId="7260F00C" w:rsidR="007A066C" w:rsidRDefault="00F668F2" w:rsidP="006E32C6">
      <w:pPr>
        <w:spacing w:after="0"/>
      </w:pPr>
      <w:r w:rsidRPr="009B764D">
        <w:t>T</w:t>
      </w:r>
      <w:r w:rsidR="007A066C" w:rsidRPr="008C6E89">
        <w:t xml:space="preserve">he </w:t>
      </w:r>
      <w:r w:rsidR="00D30473">
        <w:rPr>
          <w:b/>
        </w:rPr>
        <w:t>IdentifiedEntity</w:t>
      </w:r>
      <w:r w:rsidR="008C6E89" w:rsidRPr="009B764D">
        <w:rPr>
          <w:b/>
        </w:rPr>
        <w:t>.id</w:t>
      </w:r>
      <w:r w:rsidR="008C6E89" w:rsidRPr="009B764D">
        <w:t xml:space="preserve"> extension </w:t>
      </w:r>
      <w:r w:rsidR="007A066C" w:rsidRPr="008C6E89">
        <w:t xml:space="preserve">element </w:t>
      </w:r>
      <w:r w:rsidR="008C6E89" w:rsidRPr="009B764D">
        <w:t xml:space="preserve">shall be used to store </w:t>
      </w:r>
      <w:r w:rsidR="00DF0DED" w:rsidRPr="008C6E89">
        <w:t>the serial number</w:t>
      </w:r>
      <w:r w:rsidR="008C6E89" w:rsidRPr="009B764D">
        <w:t xml:space="preserve">.  The </w:t>
      </w:r>
      <w:r w:rsidR="00D30473">
        <w:t>IdentifiedEntity</w:t>
      </w:r>
      <w:r w:rsidR="008C6E89" w:rsidRPr="009B764D">
        <w:t xml:space="preserve">.id root element will generally be omitted </w:t>
      </w:r>
      <w:r w:rsidR="009B764D">
        <w:t xml:space="preserve">although it may be the Issuer OID or URL </w:t>
      </w:r>
      <w:r w:rsidR="00D30473">
        <w:t>for</w:t>
      </w:r>
      <w:r w:rsidR="009B764D">
        <w:t xml:space="preserve"> the DI</w:t>
      </w:r>
      <w:r w:rsidR="00DF0DED" w:rsidRPr="008C6E89">
        <w:t>.</w:t>
      </w:r>
    </w:p>
    <w:p w14:paraId="7D4CEF4C" w14:textId="77777777" w:rsidR="001B0729" w:rsidRDefault="001B0729" w:rsidP="006E32C6">
      <w:pPr>
        <w:spacing w:after="0"/>
      </w:pPr>
    </w:p>
    <w:p w14:paraId="4E972F28" w14:textId="5BBAF125" w:rsidR="007B60DB" w:rsidRDefault="007B60DB" w:rsidP="009B764D">
      <w:pPr>
        <w:pStyle w:val="Heading3"/>
      </w:pPr>
      <w:r>
        <w:t>V3 Example</w:t>
      </w:r>
    </w:p>
    <w:p w14:paraId="68E823A9" w14:textId="77777777" w:rsidR="007B60DB" w:rsidRPr="007B60DB" w:rsidRDefault="007B60DB" w:rsidP="007B60DB">
      <w:pPr>
        <w:spacing w:after="0"/>
        <w:rPr>
          <w:rFonts w:ascii="Courier New" w:hAnsi="Courier New" w:cs="Courier New"/>
        </w:rPr>
      </w:pPr>
      <w:r w:rsidRPr="007B60DB">
        <w:rPr>
          <w:rFonts w:ascii="Courier New" w:hAnsi="Courier New" w:cs="Courier New"/>
        </w:rPr>
        <w:t>&lt;someDevice classCode="DEV" determinerCode="instance"&gt;</w:t>
      </w:r>
    </w:p>
    <w:p w14:paraId="2CACFA31" w14:textId="77777777" w:rsidR="007B60DB" w:rsidRPr="007B60DB" w:rsidRDefault="007B60DB" w:rsidP="007B60DB">
      <w:pPr>
        <w:spacing w:after="0"/>
        <w:rPr>
          <w:rFonts w:ascii="Courier New" w:hAnsi="Courier New" w:cs="Courier New"/>
        </w:rPr>
      </w:pPr>
      <w:r w:rsidRPr="007B60DB">
        <w:rPr>
          <w:rFonts w:ascii="Courier New" w:hAnsi="Courier New" w:cs="Courier New"/>
        </w:rPr>
        <w:t xml:space="preserve">  &lt;id root="2.16.840.1.113883.3.3719" extension="{01}0061414999996{17}910304{10}123ABC{21}1234567890"/&gt;</w:t>
      </w:r>
    </w:p>
    <w:p w14:paraId="0306E90B" w14:textId="77777777" w:rsidR="007B60DB" w:rsidRPr="007B60DB" w:rsidRDefault="007B60DB" w:rsidP="007B60DB">
      <w:pPr>
        <w:spacing w:after="0"/>
        <w:rPr>
          <w:rFonts w:ascii="Courier New" w:hAnsi="Courier New" w:cs="Courier New"/>
        </w:rPr>
      </w:pPr>
      <w:r w:rsidRPr="007B60DB">
        <w:rPr>
          <w:rFonts w:ascii="Courier New" w:hAnsi="Courier New" w:cs="Courier New"/>
        </w:rPr>
        <w:t xml:space="preserve">  &lt;code system="2.51.1.1" code="0061414999996"/&gt;</w:t>
      </w:r>
    </w:p>
    <w:p w14:paraId="3B270A29" w14:textId="77777777" w:rsidR="007B60DB" w:rsidRPr="007B60DB" w:rsidRDefault="007B60DB" w:rsidP="007B60DB">
      <w:pPr>
        <w:spacing w:after="0"/>
        <w:rPr>
          <w:rFonts w:ascii="Courier New" w:hAnsi="Courier New" w:cs="Courier New"/>
        </w:rPr>
      </w:pPr>
      <w:r w:rsidRPr="007B60DB">
        <w:rPr>
          <w:rFonts w:ascii="Courier New" w:hAnsi="Courier New" w:cs="Courier New"/>
        </w:rPr>
        <w:t xml:space="preserve">  &lt;lotNumberText value="123ABC"/&gt;</w:t>
      </w:r>
    </w:p>
    <w:p w14:paraId="63BDA574" w14:textId="77777777" w:rsidR="007B60DB" w:rsidRPr="007B60DB" w:rsidRDefault="007B60DB" w:rsidP="007B60DB">
      <w:pPr>
        <w:spacing w:after="0"/>
        <w:rPr>
          <w:rFonts w:ascii="Courier New" w:hAnsi="Courier New" w:cs="Courier New"/>
        </w:rPr>
      </w:pPr>
      <w:r w:rsidRPr="007B60DB">
        <w:rPr>
          <w:rFonts w:ascii="Courier New" w:hAnsi="Courier New" w:cs="Courier New"/>
        </w:rPr>
        <w:t xml:space="preserve">  &lt;expirationTime value="19910304"/&gt;</w:t>
      </w:r>
    </w:p>
    <w:p w14:paraId="7D814CD2" w14:textId="77777777" w:rsidR="007B60DB" w:rsidRPr="007B60DB" w:rsidRDefault="007B60DB" w:rsidP="007B60DB">
      <w:pPr>
        <w:spacing w:after="0"/>
        <w:rPr>
          <w:rFonts w:ascii="Courier New" w:hAnsi="Courier New" w:cs="Courier New"/>
        </w:rPr>
      </w:pPr>
      <w:r w:rsidRPr="007B60DB">
        <w:rPr>
          <w:rFonts w:ascii="Courier New" w:hAnsi="Courier New" w:cs="Courier New"/>
        </w:rPr>
        <w:t xml:space="preserve">  &lt;asSpecimen classCode="SPEC"&gt;</w:t>
      </w:r>
    </w:p>
    <w:p w14:paraId="646D13E4" w14:textId="2B05200E" w:rsidR="007B60DB" w:rsidRPr="007B60DB" w:rsidRDefault="007B60DB" w:rsidP="007B60DB">
      <w:pPr>
        <w:spacing w:after="0"/>
        <w:rPr>
          <w:rFonts w:ascii="Courier New" w:hAnsi="Courier New" w:cs="Courier New"/>
        </w:rPr>
      </w:pPr>
      <w:r w:rsidRPr="007B60DB">
        <w:rPr>
          <w:rFonts w:ascii="Courier New" w:hAnsi="Courier New" w:cs="Courier New"/>
        </w:rPr>
        <w:t xml:space="preserve">    &lt;</w:t>
      </w:r>
      <w:r w:rsidR="002C714C">
        <w:rPr>
          <w:rFonts w:ascii="Courier New" w:hAnsi="Courier New" w:cs="Courier New"/>
        </w:rPr>
        <w:t>substanceExtractionEvent</w:t>
      </w:r>
      <w:r w:rsidRPr="007B60DB">
        <w:rPr>
          <w:rFonts w:ascii="Courier New" w:hAnsi="Courier New" w:cs="Courier New"/>
        </w:rPr>
        <w:t xml:space="preserve"> classCode="</w:t>
      </w:r>
      <w:r w:rsidR="002C714C">
        <w:rPr>
          <w:rFonts w:ascii="Courier New" w:hAnsi="Courier New" w:cs="Courier New"/>
        </w:rPr>
        <w:t>SBEXT</w:t>
      </w:r>
      <w:r w:rsidRPr="007B60DB">
        <w:rPr>
          <w:rFonts w:ascii="Courier New" w:hAnsi="Courier New" w:cs="Courier New"/>
        </w:rPr>
        <w:t xml:space="preserve">" </w:t>
      </w:r>
      <w:r w:rsidR="002C714C">
        <w:rPr>
          <w:rFonts w:ascii="Courier New" w:hAnsi="Courier New" w:cs="Courier New"/>
        </w:rPr>
        <w:t>mood</w:t>
      </w:r>
      <w:r w:rsidRPr="007B60DB">
        <w:rPr>
          <w:rFonts w:ascii="Courier New" w:hAnsi="Courier New" w:cs="Courier New"/>
        </w:rPr>
        <w:t>Code="</w:t>
      </w:r>
      <w:r w:rsidR="002C714C">
        <w:rPr>
          <w:rFonts w:ascii="Courier New" w:hAnsi="Courier New" w:cs="Courier New"/>
        </w:rPr>
        <w:t>EVN</w:t>
      </w:r>
      <w:r w:rsidRPr="007B60DB">
        <w:rPr>
          <w:rFonts w:ascii="Courier New" w:hAnsi="Courier New" w:cs="Courier New"/>
        </w:rPr>
        <w:t>"&gt;</w:t>
      </w:r>
    </w:p>
    <w:p w14:paraId="47A0F88E" w14:textId="77777777" w:rsidR="007B60DB" w:rsidRPr="007B60DB" w:rsidRDefault="007B60DB" w:rsidP="007B60DB">
      <w:pPr>
        <w:spacing w:after="0"/>
        <w:rPr>
          <w:rFonts w:ascii="Courier New" w:hAnsi="Courier New" w:cs="Courier New"/>
        </w:rPr>
      </w:pPr>
      <w:r w:rsidRPr="007B60DB">
        <w:rPr>
          <w:rFonts w:ascii="Courier New" w:hAnsi="Courier New" w:cs="Courier New"/>
        </w:rPr>
        <w:lastRenderedPageBreak/>
        <w:t xml:space="preserve">      &lt;id root="2.16.840.1.113883.6.18.2.1 " extension="the actual DIN string"/&gt;</w:t>
      </w:r>
    </w:p>
    <w:p w14:paraId="056C3A8E" w14:textId="7EAB8BA7" w:rsidR="007B60DB" w:rsidRPr="007B60DB" w:rsidRDefault="007B60DB" w:rsidP="007B60DB">
      <w:pPr>
        <w:spacing w:after="0"/>
        <w:rPr>
          <w:rFonts w:ascii="Courier New" w:hAnsi="Courier New" w:cs="Courier New"/>
        </w:rPr>
      </w:pPr>
      <w:r w:rsidRPr="007B60DB">
        <w:rPr>
          <w:rFonts w:ascii="Courier New" w:hAnsi="Courier New" w:cs="Courier New"/>
        </w:rPr>
        <w:t xml:space="preserve">    &lt;/</w:t>
      </w:r>
      <w:r w:rsidR="002C714C">
        <w:rPr>
          <w:rFonts w:ascii="Courier New" w:hAnsi="Courier New" w:cs="Courier New"/>
        </w:rPr>
        <w:t>substanceExtractionEvent</w:t>
      </w:r>
      <w:r w:rsidRPr="007B60DB">
        <w:rPr>
          <w:rFonts w:ascii="Courier New" w:hAnsi="Courier New" w:cs="Courier New"/>
        </w:rPr>
        <w:t>&gt;</w:t>
      </w:r>
    </w:p>
    <w:p w14:paraId="240EFA55" w14:textId="77777777" w:rsidR="007B60DB" w:rsidRPr="007B60DB" w:rsidRDefault="007B60DB" w:rsidP="007B60DB">
      <w:pPr>
        <w:spacing w:after="0"/>
        <w:rPr>
          <w:rFonts w:ascii="Courier New" w:hAnsi="Courier New" w:cs="Courier New"/>
        </w:rPr>
      </w:pPr>
      <w:r w:rsidRPr="007B60DB">
        <w:rPr>
          <w:rFonts w:ascii="Courier New" w:hAnsi="Courier New" w:cs="Courier New"/>
        </w:rPr>
        <w:t xml:space="preserve">  &lt;/asSpecimen&gt;</w:t>
      </w:r>
    </w:p>
    <w:p w14:paraId="6DA650D0" w14:textId="77777777" w:rsidR="007B60DB" w:rsidRPr="007B60DB" w:rsidRDefault="007B60DB" w:rsidP="007B60DB">
      <w:pPr>
        <w:spacing w:after="0"/>
        <w:rPr>
          <w:rFonts w:ascii="Courier New" w:hAnsi="Courier New" w:cs="Courier New"/>
        </w:rPr>
      </w:pPr>
      <w:r w:rsidRPr="007B60DB">
        <w:rPr>
          <w:rFonts w:ascii="Courier New" w:hAnsi="Courier New" w:cs="Courier New"/>
        </w:rPr>
        <w:t xml:space="preserve">  &lt;asIdentifiedEntity classCode="IDENT"&gt;</w:t>
      </w:r>
    </w:p>
    <w:p w14:paraId="207735C6" w14:textId="77777777" w:rsidR="007B60DB" w:rsidRPr="007B60DB" w:rsidRDefault="007B60DB" w:rsidP="007B60DB">
      <w:pPr>
        <w:spacing w:after="0"/>
        <w:rPr>
          <w:rFonts w:ascii="Courier New" w:hAnsi="Courier New" w:cs="Courier New"/>
        </w:rPr>
      </w:pPr>
      <w:r w:rsidRPr="007B60DB">
        <w:rPr>
          <w:rFonts w:ascii="Courier New" w:hAnsi="Courier New" w:cs="Courier New"/>
        </w:rPr>
        <w:t xml:space="preserve">    &lt;id extension="1234567890"/&gt;</w:t>
      </w:r>
    </w:p>
    <w:p w14:paraId="1856AA4C" w14:textId="77777777" w:rsidR="007B60DB" w:rsidRPr="007B60DB" w:rsidRDefault="007B60DB" w:rsidP="007B60DB">
      <w:pPr>
        <w:spacing w:after="0"/>
        <w:rPr>
          <w:rFonts w:ascii="Courier New" w:hAnsi="Courier New" w:cs="Courier New"/>
        </w:rPr>
      </w:pPr>
      <w:r w:rsidRPr="007B60DB">
        <w:rPr>
          <w:rFonts w:ascii="Courier New" w:hAnsi="Courier New" w:cs="Courier New"/>
        </w:rPr>
        <w:t xml:space="preserve">    &lt;code system="2.16.840.1.113883.5.111" code="[TBD – SERIAL NUMBER]"/&gt;</w:t>
      </w:r>
    </w:p>
    <w:p w14:paraId="4FCFF662" w14:textId="77777777" w:rsidR="007B60DB" w:rsidRPr="007B60DB" w:rsidRDefault="007B60DB" w:rsidP="007B60DB">
      <w:pPr>
        <w:spacing w:after="0"/>
        <w:rPr>
          <w:rFonts w:ascii="Courier New" w:hAnsi="Courier New" w:cs="Courier New"/>
        </w:rPr>
      </w:pPr>
      <w:r w:rsidRPr="007B60DB">
        <w:rPr>
          <w:rFonts w:ascii="Courier New" w:hAnsi="Courier New" w:cs="Courier New"/>
        </w:rPr>
        <w:t xml:space="preserve">  &lt;/asIdentifiedEntity&gt;</w:t>
      </w:r>
    </w:p>
    <w:p w14:paraId="0390E7BA" w14:textId="782BE018" w:rsidR="007B60DB" w:rsidRPr="00E21ED6" w:rsidRDefault="007B60DB" w:rsidP="007B60DB">
      <w:pPr>
        <w:spacing w:after="0"/>
        <w:rPr>
          <w:rFonts w:ascii="Courier New" w:hAnsi="Courier New" w:cs="Courier New"/>
        </w:rPr>
      </w:pPr>
      <w:r w:rsidRPr="007B60DB">
        <w:rPr>
          <w:rFonts w:ascii="Courier New" w:hAnsi="Courier New" w:cs="Courier New"/>
        </w:rPr>
        <w:t>&lt;/someDevice&gt;</w:t>
      </w:r>
    </w:p>
    <w:p w14:paraId="0E6CB425" w14:textId="77777777" w:rsidR="006E32C6" w:rsidRDefault="006E32C6" w:rsidP="00580BD3">
      <w:pPr>
        <w:spacing w:after="0"/>
        <w:rPr>
          <w:b/>
        </w:rPr>
      </w:pPr>
    </w:p>
    <w:p w14:paraId="051410A0" w14:textId="5CBA9C41" w:rsidR="00251477" w:rsidRPr="00582636" w:rsidRDefault="00184AEC" w:rsidP="00E21ED6">
      <w:pPr>
        <w:pStyle w:val="Heading2"/>
      </w:pPr>
      <w:r>
        <w:br w:type="page"/>
      </w:r>
      <w:r w:rsidR="00715A03" w:rsidRPr="00582636">
        <w:lastRenderedPageBreak/>
        <w:t xml:space="preserve">V3 </w:t>
      </w:r>
      <w:r w:rsidR="006E32C6" w:rsidRPr="00582636">
        <w:t>CDA</w:t>
      </w:r>
    </w:p>
    <w:p w14:paraId="6DCE87F0" w14:textId="77777777" w:rsidR="00251477" w:rsidRDefault="00251477" w:rsidP="00580BD3">
      <w:pPr>
        <w:spacing w:after="0"/>
        <w:rPr>
          <w:b/>
        </w:rPr>
      </w:pPr>
    </w:p>
    <w:p w14:paraId="2741FCC6" w14:textId="673CE3B2" w:rsidR="00715A03" w:rsidRDefault="00251477" w:rsidP="00580BD3">
      <w:pPr>
        <w:spacing w:after="0"/>
      </w:pPr>
      <w:r w:rsidRPr="00582636">
        <w:t>T</w:t>
      </w:r>
      <w:r w:rsidR="008F6766" w:rsidRPr="00582636">
        <w:t xml:space="preserve">he </w:t>
      </w:r>
      <w:r w:rsidR="003F659B">
        <w:t>HRF</w:t>
      </w:r>
      <w:r w:rsidR="00715A03" w:rsidRPr="00582636">
        <w:t xml:space="preserve"> is provided in</w:t>
      </w:r>
      <w:r w:rsidRPr="00582636">
        <w:t xml:space="preserve"> the</w:t>
      </w:r>
      <w:r w:rsidR="00DF0DED">
        <w:t xml:space="preserve"> “extension” element of</w:t>
      </w:r>
      <w:r w:rsidRPr="00582636">
        <w:t xml:space="preserve"> </w:t>
      </w:r>
      <w:r w:rsidR="003740B8" w:rsidRPr="00582636">
        <w:rPr>
          <w:b/>
        </w:rPr>
        <w:t>participantRole.</w:t>
      </w:r>
      <w:r w:rsidRPr="00582636">
        <w:rPr>
          <w:b/>
        </w:rPr>
        <w:t>id</w:t>
      </w:r>
      <w:r w:rsidR="00715A03" w:rsidRPr="00582636">
        <w:t xml:space="preserve"> </w:t>
      </w:r>
      <w:r w:rsidR="005A26A7" w:rsidRPr="00582636">
        <w:t>with the OID as the root.</w:t>
      </w:r>
      <w:r w:rsidR="00DF0DED">
        <w:t xml:space="preserve">  Because of constraints on valid characters within XML, the AIDC identifier cannot be conveyed in CDA.</w:t>
      </w:r>
    </w:p>
    <w:p w14:paraId="298AF1B3" w14:textId="77777777" w:rsidR="003F659B" w:rsidRDefault="003F659B" w:rsidP="00580BD3">
      <w:pPr>
        <w:spacing w:after="0"/>
      </w:pPr>
    </w:p>
    <w:p w14:paraId="52673B97" w14:textId="77777777" w:rsidR="003F659B" w:rsidRPr="00582636" w:rsidRDefault="003F659B" w:rsidP="00580BD3">
      <w:pPr>
        <w:spacing w:after="0"/>
      </w:pPr>
      <w:r>
        <w:t>Note: The Structured Documents Work Group is continuing to work on identifying how and where to store the individual UDI elements within CDA and CCDA.</w:t>
      </w:r>
    </w:p>
    <w:p w14:paraId="5D65E858" w14:textId="77777777" w:rsidR="00715A03" w:rsidRDefault="00715A03" w:rsidP="00580BD3">
      <w:pPr>
        <w:spacing w:after="0"/>
      </w:pPr>
    </w:p>
    <w:p w14:paraId="298F65AA" w14:textId="77777777" w:rsidR="008F6766" w:rsidRPr="008F6766" w:rsidRDefault="008F6766" w:rsidP="00580BD3">
      <w:pPr>
        <w:spacing w:after="0"/>
        <w:rPr>
          <w:u w:val="single"/>
        </w:rPr>
      </w:pPr>
      <w:r w:rsidRPr="008F6766">
        <w:rPr>
          <w:u w:val="single"/>
        </w:rPr>
        <w:t>G</w:t>
      </w:r>
      <w:r>
        <w:rPr>
          <w:u w:val="single"/>
        </w:rPr>
        <w:t>S1</w:t>
      </w:r>
      <w:r w:rsidRPr="008F6766">
        <w:rPr>
          <w:u w:val="single"/>
        </w:rPr>
        <w:t xml:space="preserve"> UDI example:</w:t>
      </w:r>
    </w:p>
    <w:p w14:paraId="7D3C0199" w14:textId="77777777" w:rsidR="008F6766" w:rsidRDefault="008F6766" w:rsidP="00580BD3">
      <w:pPr>
        <w:spacing w:after="0"/>
      </w:pPr>
    </w:p>
    <w:p w14:paraId="0216386E" w14:textId="77777777" w:rsidR="00715A03" w:rsidRDefault="00715A03" w:rsidP="00580BD3">
      <w:pPr>
        <w:spacing w:after="0"/>
      </w:pPr>
      <w:r>
        <w:t>&lt;participantRole&gt;</w:t>
      </w:r>
    </w:p>
    <w:p w14:paraId="297F9287" w14:textId="77777777" w:rsidR="00715A03" w:rsidRDefault="00715A03" w:rsidP="00580BD3">
      <w:pPr>
        <w:spacing w:after="0"/>
      </w:pPr>
      <w:r>
        <w:t>…</w:t>
      </w:r>
    </w:p>
    <w:p w14:paraId="1E251239" w14:textId="77777777" w:rsidR="00715A03" w:rsidRDefault="00715A03" w:rsidP="00580BD3">
      <w:pPr>
        <w:spacing w:after="0"/>
        <w:rPr>
          <w:bCs/>
        </w:rPr>
      </w:pPr>
      <w:r>
        <w:t xml:space="preserve">    &lt;id root=”</w:t>
      </w:r>
      <w:r w:rsidRPr="00715A03">
        <w:rPr>
          <w:bCs/>
        </w:rPr>
        <w:t>2.16.840.1.113883.3.3719</w:t>
      </w:r>
      <w:r>
        <w:rPr>
          <w:bCs/>
        </w:rPr>
        <w:t>” extension=”</w:t>
      </w:r>
      <w:r w:rsidR="00F41DFB">
        <w:rPr>
          <w:bCs/>
        </w:rPr>
        <w:t>{</w:t>
      </w:r>
      <w:r w:rsidRPr="00715A03">
        <w:rPr>
          <w:bCs/>
        </w:rPr>
        <w:t>01</w:t>
      </w:r>
      <w:r w:rsidR="00F41DFB">
        <w:rPr>
          <w:bCs/>
        </w:rPr>
        <w:t>}</w:t>
      </w:r>
      <w:r w:rsidRPr="00715A03">
        <w:rPr>
          <w:bCs/>
        </w:rPr>
        <w:t>00643169001763</w:t>
      </w:r>
      <w:r w:rsidR="00F41DFB">
        <w:rPr>
          <w:bCs/>
        </w:rPr>
        <w:t>{</w:t>
      </w:r>
      <w:r w:rsidRPr="00715A03">
        <w:rPr>
          <w:bCs/>
        </w:rPr>
        <w:t>17</w:t>
      </w:r>
      <w:r w:rsidR="00F41DFB">
        <w:rPr>
          <w:bCs/>
        </w:rPr>
        <w:t>}</w:t>
      </w:r>
      <w:r w:rsidRPr="00715A03">
        <w:rPr>
          <w:bCs/>
        </w:rPr>
        <w:t>160712</w:t>
      </w:r>
      <w:r w:rsidR="00F41DFB">
        <w:rPr>
          <w:bCs/>
        </w:rPr>
        <w:t>{</w:t>
      </w:r>
      <w:r w:rsidRPr="00715A03">
        <w:rPr>
          <w:bCs/>
        </w:rPr>
        <w:t>21</w:t>
      </w:r>
      <w:r w:rsidR="00F41DFB">
        <w:rPr>
          <w:bCs/>
        </w:rPr>
        <w:t>}</w:t>
      </w:r>
      <w:r w:rsidRPr="00715A03">
        <w:rPr>
          <w:bCs/>
        </w:rPr>
        <w:t>21A11F4855</w:t>
      </w:r>
      <w:r>
        <w:rPr>
          <w:bCs/>
        </w:rPr>
        <w:t>”&gt;</w:t>
      </w:r>
    </w:p>
    <w:p w14:paraId="0F38E2A3" w14:textId="77777777" w:rsidR="00715A03" w:rsidRDefault="00715A03" w:rsidP="00580BD3">
      <w:pPr>
        <w:spacing w:after="0"/>
      </w:pPr>
      <w:r>
        <w:rPr>
          <w:bCs/>
        </w:rPr>
        <w:t>…</w:t>
      </w:r>
    </w:p>
    <w:p w14:paraId="145B3719" w14:textId="77777777" w:rsidR="00715A03" w:rsidRDefault="00715A03" w:rsidP="00580BD3">
      <w:pPr>
        <w:spacing w:after="0"/>
      </w:pPr>
      <w:r>
        <w:t>&lt;/participantRole&gt;</w:t>
      </w:r>
    </w:p>
    <w:p w14:paraId="0A5D702F" w14:textId="77777777" w:rsidR="003C38D1" w:rsidRDefault="003C38D1" w:rsidP="00580BD3">
      <w:pPr>
        <w:spacing w:after="0"/>
      </w:pPr>
    </w:p>
    <w:p w14:paraId="3DA57418" w14:textId="77777777" w:rsidR="00357D0B" w:rsidRPr="008F6766" w:rsidRDefault="008F6766" w:rsidP="008F6766">
      <w:pPr>
        <w:spacing w:after="0"/>
        <w:rPr>
          <w:u w:val="single"/>
        </w:rPr>
      </w:pPr>
      <w:r w:rsidRPr="008F6766">
        <w:rPr>
          <w:u w:val="single"/>
        </w:rPr>
        <w:t>HIBCC UDI example:</w:t>
      </w:r>
    </w:p>
    <w:p w14:paraId="0F639F54" w14:textId="77777777" w:rsidR="003C38D1" w:rsidRDefault="003C38D1" w:rsidP="00580BD3">
      <w:pPr>
        <w:spacing w:after="0"/>
      </w:pPr>
    </w:p>
    <w:p w14:paraId="7BE40E7D" w14:textId="77777777" w:rsidR="003C38D1" w:rsidRDefault="003C38D1" w:rsidP="003C38D1">
      <w:pPr>
        <w:spacing w:after="0"/>
      </w:pPr>
      <w:r>
        <w:t>&lt;participantRole&gt;</w:t>
      </w:r>
    </w:p>
    <w:p w14:paraId="770CBB5B" w14:textId="77777777" w:rsidR="003C38D1" w:rsidRDefault="003C38D1" w:rsidP="003C38D1">
      <w:pPr>
        <w:spacing w:after="0"/>
      </w:pPr>
      <w:r>
        <w:t>…</w:t>
      </w:r>
    </w:p>
    <w:p w14:paraId="3E7C8C44" w14:textId="77777777" w:rsidR="003C38D1" w:rsidRDefault="003C38D1" w:rsidP="003C38D1">
      <w:pPr>
        <w:spacing w:after="0"/>
        <w:rPr>
          <w:bCs/>
        </w:rPr>
      </w:pPr>
      <w:r>
        <w:t xml:space="preserve">    &lt;id root=”</w:t>
      </w:r>
      <w:r w:rsidRPr="00715A03">
        <w:rPr>
          <w:bCs/>
        </w:rPr>
        <w:t>2.16.840.1.113883.3.3719</w:t>
      </w:r>
      <w:r>
        <w:rPr>
          <w:bCs/>
        </w:rPr>
        <w:t>”</w:t>
      </w:r>
    </w:p>
    <w:p w14:paraId="4B1DF06F" w14:textId="77777777" w:rsidR="003C38D1" w:rsidRDefault="003C38D1" w:rsidP="003C38D1">
      <w:pPr>
        <w:spacing w:after="0"/>
        <w:ind w:firstLine="720"/>
        <w:rPr>
          <w:bCs/>
        </w:rPr>
      </w:pPr>
      <w:r>
        <w:rPr>
          <w:bCs/>
        </w:rPr>
        <w:t xml:space="preserve">   extension=”+</w:t>
      </w:r>
      <w:r w:rsidRPr="003C38D1">
        <w:rPr>
          <w:bCs/>
        </w:rPr>
        <w:t>25PLHH123C123456789+26</w:t>
      </w:r>
      <w:r>
        <w:rPr>
          <w:bCs/>
        </w:rPr>
        <w:t>Q9+Q5+1TL123456789+14D20110101”&gt;</w:t>
      </w:r>
    </w:p>
    <w:p w14:paraId="569DA319" w14:textId="77777777" w:rsidR="003C38D1" w:rsidRDefault="003C38D1" w:rsidP="003C38D1">
      <w:pPr>
        <w:spacing w:after="0"/>
      </w:pPr>
      <w:r>
        <w:rPr>
          <w:bCs/>
        </w:rPr>
        <w:t>…</w:t>
      </w:r>
    </w:p>
    <w:p w14:paraId="7886C893" w14:textId="77777777" w:rsidR="003C38D1" w:rsidRDefault="003C38D1" w:rsidP="003C38D1">
      <w:pPr>
        <w:spacing w:after="0"/>
      </w:pPr>
      <w:r>
        <w:t>&lt;/participantRole&gt;</w:t>
      </w:r>
    </w:p>
    <w:p w14:paraId="65C9AF14" w14:textId="77777777" w:rsidR="003C38D1" w:rsidRDefault="003C38D1" w:rsidP="00580BD3">
      <w:pPr>
        <w:spacing w:after="0"/>
      </w:pPr>
    </w:p>
    <w:p w14:paraId="054E7FE4" w14:textId="77777777" w:rsidR="008F6766" w:rsidRDefault="008F6766" w:rsidP="00580BD3">
      <w:pPr>
        <w:spacing w:after="0"/>
      </w:pPr>
    </w:p>
    <w:p w14:paraId="45566056" w14:textId="77777777" w:rsidR="005F75F9" w:rsidRPr="00582636" w:rsidRDefault="00184AEC" w:rsidP="00E21ED6">
      <w:pPr>
        <w:pStyle w:val="Heading2"/>
      </w:pPr>
      <w:r>
        <w:br w:type="page"/>
      </w:r>
      <w:r w:rsidR="005F75F9" w:rsidRPr="00582636">
        <w:lastRenderedPageBreak/>
        <w:t>FHIR</w:t>
      </w:r>
    </w:p>
    <w:p w14:paraId="4FB29B2E" w14:textId="77777777" w:rsidR="005F75F9" w:rsidRDefault="005F75F9" w:rsidP="005F75F9">
      <w:pPr>
        <w:spacing w:after="0"/>
      </w:pPr>
    </w:p>
    <w:p w14:paraId="11F81306" w14:textId="155EF402" w:rsidR="005F75F9" w:rsidRDefault="005F75F9" w:rsidP="005F75F9">
      <w:pPr>
        <w:spacing w:after="0"/>
      </w:pPr>
      <w:r w:rsidRPr="00320553">
        <w:rPr>
          <w:noProof/>
          <w:lang w:eastAsia="en-CA"/>
        </w:rPr>
        <w:t xml:space="preserve"> </w:t>
      </w:r>
      <w:r w:rsidR="00632D74">
        <w:rPr>
          <w:noProof/>
          <w:lang w:eastAsia="en-CA"/>
        </w:rPr>
        <w:drawing>
          <wp:inline distT="0" distB="0" distL="0" distR="0" wp14:anchorId="7E094985" wp14:editId="72F3FDDD">
            <wp:extent cx="1999615" cy="2865755"/>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999615" cy="2865755"/>
                    </a:xfrm>
                    <a:prstGeom prst="rect">
                      <a:avLst/>
                    </a:prstGeom>
                    <a:noFill/>
                    <a:ln>
                      <a:noFill/>
                    </a:ln>
                  </pic:spPr>
                </pic:pic>
              </a:graphicData>
            </a:graphic>
          </wp:inline>
        </w:drawing>
      </w:r>
    </w:p>
    <w:p w14:paraId="74FE8273" w14:textId="77777777" w:rsidR="005F75F9" w:rsidRDefault="005F75F9" w:rsidP="005F75F9">
      <w:pPr>
        <w:spacing w:after="0"/>
      </w:pPr>
    </w:p>
    <w:p w14:paraId="62DF7B99" w14:textId="7F6874E6" w:rsidR="005F75F9" w:rsidRDefault="005F75F9" w:rsidP="005F75F9">
      <w:pPr>
        <w:spacing w:after="0"/>
      </w:pPr>
      <w:r>
        <w:t xml:space="preserve">The HRF shall be stored in the </w:t>
      </w:r>
      <w:r w:rsidRPr="005F75F9">
        <w:rPr>
          <w:b/>
        </w:rPr>
        <w:t>udiCarrier</w:t>
      </w:r>
      <w:r>
        <w:t xml:space="preserve"> element with the appropriate repository ur</w:t>
      </w:r>
      <w:r w:rsidR="00FA0911">
        <w:t>i</w:t>
      </w:r>
      <w:r>
        <w:t xml:space="preserve"> as the system. </w:t>
      </w:r>
      <w:r w:rsidR="00DF0DED">
        <w:t>The identifier.type should be set to “UDI”</w:t>
      </w:r>
      <w:r w:rsidR="00640946">
        <w:t>.  Because of limitations on character sets in XML and the need to round-trip JSON data through XML, AIDC identifiers cannot be conveyed in FHIR.</w:t>
      </w:r>
    </w:p>
    <w:p w14:paraId="541FB889" w14:textId="77777777" w:rsidR="00640946" w:rsidRDefault="00640946" w:rsidP="005F75F9">
      <w:pPr>
        <w:spacing w:after="0"/>
      </w:pPr>
    </w:p>
    <w:p w14:paraId="3295864F" w14:textId="288E9D8A" w:rsidR="005F75F9" w:rsidRDefault="005F75F9" w:rsidP="005F75F9">
      <w:pPr>
        <w:spacing w:after="0"/>
      </w:pPr>
      <w:r>
        <w:t xml:space="preserve">The DI shall be stored in </w:t>
      </w:r>
      <w:r w:rsidR="00DF0DED">
        <w:t xml:space="preserve">the “code” element of one of the Codings of </w:t>
      </w:r>
      <w:r>
        <w:t xml:space="preserve">the </w:t>
      </w:r>
      <w:r>
        <w:rPr>
          <w:b/>
        </w:rPr>
        <w:t>type</w:t>
      </w:r>
      <w:r>
        <w:t xml:space="preserve"> element with </w:t>
      </w:r>
      <w:r w:rsidR="00DF0DED">
        <w:t>the ur</w:t>
      </w:r>
      <w:r w:rsidR="00F668F2">
        <w:t>i</w:t>
      </w:r>
      <w:r w:rsidR="00DF0DED">
        <w:t xml:space="preserve"> included as the system</w:t>
      </w:r>
      <w:r>
        <w:t>.</w:t>
      </w:r>
    </w:p>
    <w:p w14:paraId="7780EA05" w14:textId="77777777" w:rsidR="00640946" w:rsidRDefault="00640946" w:rsidP="005F75F9">
      <w:pPr>
        <w:spacing w:after="0"/>
      </w:pPr>
    </w:p>
    <w:p w14:paraId="2D4E437E" w14:textId="5AEAF4A7" w:rsidR="005F75F9" w:rsidRDefault="005F75F9" w:rsidP="005F75F9">
      <w:pPr>
        <w:spacing w:after="0"/>
      </w:pPr>
      <w:r>
        <w:t xml:space="preserve">The manufacture date shall be stored in the </w:t>
      </w:r>
      <w:r w:rsidRPr="006E32C6">
        <w:rPr>
          <w:b/>
        </w:rPr>
        <w:t>manufactureDate</w:t>
      </w:r>
      <w:r>
        <w:t xml:space="preserve"> element </w:t>
      </w:r>
      <w:r w:rsidR="00DF0DED">
        <w:t>with the syntax converted to YYYY-MM-DD[THH:MM:SS]</w:t>
      </w:r>
      <w:r>
        <w:t>.</w:t>
      </w:r>
      <w:r w:rsidR="00DF0DED">
        <w:t xml:space="preserve">  If hour is present, the minutes and seconds should both be set to “00”.</w:t>
      </w:r>
    </w:p>
    <w:p w14:paraId="0EC59FBE" w14:textId="77777777" w:rsidR="00640946" w:rsidRDefault="00640946" w:rsidP="005F75F9">
      <w:pPr>
        <w:spacing w:after="0"/>
      </w:pPr>
    </w:p>
    <w:p w14:paraId="2E7FF47E" w14:textId="6D28C2A2" w:rsidR="005F75F9" w:rsidRDefault="005F75F9" w:rsidP="005F75F9">
      <w:pPr>
        <w:spacing w:after="0"/>
      </w:pPr>
      <w:r>
        <w:t>The expi</w:t>
      </w:r>
      <w:r w:rsidR="00F503FB">
        <w:t>ration</w:t>
      </w:r>
      <w:r>
        <w:t xml:space="preserve"> date shall be stored in the </w:t>
      </w:r>
      <w:r w:rsidRPr="006E32C6">
        <w:rPr>
          <w:b/>
        </w:rPr>
        <w:t>expiry</w:t>
      </w:r>
      <w:r>
        <w:t xml:space="preserve"> element</w:t>
      </w:r>
      <w:r w:rsidR="00DF0DED" w:rsidRPr="00DF0DED">
        <w:t xml:space="preserve"> </w:t>
      </w:r>
      <w:r w:rsidR="00DF0DED">
        <w:t>with the syntax converted to YYYY-MM-DD[THH:MM:SS].  If hour is present, the minutes and seconds should both be set to “00”</w:t>
      </w:r>
      <w:r>
        <w:t>.</w:t>
      </w:r>
    </w:p>
    <w:p w14:paraId="35BF77F5" w14:textId="77777777" w:rsidR="00640946" w:rsidRDefault="00640946" w:rsidP="005F75F9">
      <w:pPr>
        <w:spacing w:after="0"/>
      </w:pPr>
    </w:p>
    <w:p w14:paraId="7DD356B1" w14:textId="4E8DECBA" w:rsidR="005F75F9" w:rsidRDefault="005F75F9" w:rsidP="005F75F9">
      <w:pPr>
        <w:spacing w:after="0"/>
      </w:pPr>
      <w:r>
        <w:t xml:space="preserve">The lot shall be stored in the </w:t>
      </w:r>
      <w:r w:rsidRPr="006E32C6">
        <w:rPr>
          <w:b/>
        </w:rPr>
        <w:t>lotNumber</w:t>
      </w:r>
      <w:r>
        <w:t xml:space="preserve"> element.</w:t>
      </w:r>
    </w:p>
    <w:p w14:paraId="24DD02F8" w14:textId="77777777" w:rsidR="00640946" w:rsidRDefault="00640946" w:rsidP="005F75F9">
      <w:pPr>
        <w:spacing w:after="0"/>
      </w:pPr>
    </w:p>
    <w:p w14:paraId="2E875199" w14:textId="1852358C" w:rsidR="00640946" w:rsidRDefault="005F75F9" w:rsidP="005F75F9">
      <w:pPr>
        <w:spacing w:after="0"/>
      </w:pPr>
      <w:r>
        <w:t xml:space="preserve">The serial number shall be stored in the </w:t>
      </w:r>
      <w:r>
        <w:rPr>
          <w:b/>
        </w:rPr>
        <w:t>identifier</w:t>
      </w:r>
      <w:r>
        <w:t xml:space="preserve"> </w:t>
      </w:r>
      <w:r w:rsidR="00DF0DED">
        <w:t xml:space="preserve">value </w:t>
      </w:r>
      <w:r>
        <w:t>element without a system specified.</w:t>
      </w:r>
      <w:r w:rsidR="00DF0DED">
        <w:t xml:space="preserve">  The identifier.type should </w:t>
      </w:r>
    </w:p>
    <w:p w14:paraId="2FB1CB19" w14:textId="0D69CA6C" w:rsidR="005F75F9" w:rsidRDefault="00DF0DED" w:rsidP="005F75F9">
      <w:pPr>
        <w:spacing w:after="0"/>
      </w:pPr>
      <w:r>
        <w:t>be set to “SN</w:t>
      </w:r>
      <w:r w:rsidR="00640946">
        <w:t>O</w:t>
      </w:r>
      <w:r>
        <w:t>”</w:t>
      </w:r>
    </w:p>
    <w:p w14:paraId="52C94F3B" w14:textId="77777777" w:rsidR="005F75F9" w:rsidRDefault="005F75F9" w:rsidP="005F75F9">
      <w:pPr>
        <w:spacing w:after="0"/>
      </w:pPr>
    </w:p>
    <w:p w14:paraId="0FF15969" w14:textId="4A87D490" w:rsidR="005F75F9" w:rsidRDefault="005F75F9" w:rsidP="005F75F9">
      <w:pPr>
        <w:spacing w:after="0"/>
      </w:pPr>
      <w:r>
        <w:t>Note: Order and Observations has not yet determined whether the Device resource will include Devices of Human (or other) Origin (tissue, blood,</w:t>
      </w:r>
      <w:r w:rsidR="006B3281">
        <w:t xml:space="preserve"> etc.) and so the need for Donation</w:t>
      </w:r>
      <w:r>
        <w:t xml:space="preserve"> Identification number is not currently confirmed. If it is </w:t>
      </w:r>
      <w:r w:rsidR="00640946">
        <w:t xml:space="preserve">supported, </w:t>
      </w:r>
      <w:r>
        <w:t>then the following may apply:</w:t>
      </w:r>
    </w:p>
    <w:p w14:paraId="38FFD5DB" w14:textId="77777777" w:rsidR="005F75F9" w:rsidRDefault="005F75F9" w:rsidP="005F75F9">
      <w:pPr>
        <w:spacing w:after="0"/>
      </w:pPr>
    </w:p>
    <w:p w14:paraId="49BBFBB0" w14:textId="4FBFBE6E" w:rsidR="005F75F9" w:rsidRDefault="005F75F9" w:rsidP="005F75F9">
      <w:pPr>
        <w:spacing w:after="0"/>
      </w:pPr>
      <w:r>
        <w:t>The Don</w:t>
      </w:r>
      <w:r w:rsidR="00E21ED6">
        <w:t>ation</w:t>
      </w:r>
      <w:r>
        <w:t xml:space="preserve"> Identification Number may be sent as an extension to the Device (example extension used below for demonstration, for example:</w:t>
      </w:r>
    </w:p>
    <w:p w14:paraId="4BB37391" w14:textId="77777777" w:rsidR="005F75F9" w:rsidRDefault="005F75F9" w:rsidP="005F75F9">
      <w:pPr>
        <w:spacing w:after="0"/>
      </w:pPr>
    </w:p>
    <w:p w14:paraId="3E655958" w14:textId="7C305BDA" w:rsidR="005F75F9" w:rsidRPr="00BF6821" w:rsidRDefault="005F75F9" w:rsidP="005F75F9">
      <w:pPr>
        <w:spacing w:after="0"/>
        <w:rPr>
          <w:rFonts w:ascii="Courier New" w:hAnsi="Courier New" w:cs="Courier New"/>
        </w:rPr>
      </w:pPr>
      <w:r w:rsidRPr="00BF6821">
        <w:rPr>
          <w:rFonts w:ascii="Courier New" w:hAnsi="Courier New" w:cs="Courier New"/>
        </w:rPr>
        <w:t>&lt;Device&gt;</w:t>
      </w:r>
    </w:p>
    <w:p w14:paraId="51214C60" w14:textId="09F96C4A" w:rsidR="005F75F9" w:rsidRPr="00BF6821" w:rsidRDefault="00326AE7" w:rsidP="00BF6821">
      <w:pPr>
        <w:spacing w:after="0"/>
        <w:rPr>
          <w:rFonts w:ascii="Courier New" w:hAnsi="Courier New" w:cs="Courier New"/>
        </w:rPr>
      </w:pPr>
      <w:r>
        <w:rPr>
          <w:rFonts w:ascii="Courier New" w:hAnsi="Courier New" w:cs="Courier New"/>
        </w:rPr>
        <w:t xml:space="preserve">  </w:t>
      </w:r>
      <w:r w:rsidR="005F75F9" w:rsidRPr="00BF6821">
        <w:rPr>
          <w:rFonts w:ascii="Courier New" w:hAnsi="Courier New" w:cs="Courier New"/>
        </w:rPr>
        <w:t>&lt;extension url=</w:t>
      </w:r>
      <w:hyperlink r:id="rId12" w:history="1">
        <w:r w:rsidR="00E21ED6" w:rsidRPr="00E21ED6">
          <w:rPr>
            <w:rStyle w:val="Hyperlink"/>
            <w:rFonts w:ascii="Courier New" w:hAnsi="Courier New" w:cs="Courier New"/>
          </w:rPr>
          <w:t>http://hl7.org/fhir/StructureDefinition/device-donationIdentificationNumber</w:t>
        </w:r>
      </w:hyperlink>
      <w:r w:rsidR="005F75F9" w:rsidRPr="00BF6821">
        <w:rPr>
          <w:rFonts w:ascii="Courier New" w:hAnsi="Courier New" w:cs="Courier New"/>
        </w:rPr>
        <w:t>”&gt;</w:t>
      </w:r>
    </w:p>
    <w:p w14:paraId="057BDCB0" w14:textId="77777777" w:rsidR="005F75F9" w:rsidRPr="00BF6821" w:rsidRDefault="005F75F9" w:rsidP="00BF6821">
      <w:pPr>
        <w:spacing w:after="0"/>
        <w:rPr>
          <w:rFonts w:ascii="Courier New" w:hAnsi="Courier New" w:cs="Courier New"/>
        </w:rPr>
      </w:pPr>
      <w:r w:rsidRPr="00BF6821">
        <w:rPr>
          <w:rFonts w:ascii="Courier New" w:hAnsi="Courier New" w:cs="Courier New"/>
        </w:rPr>
        <w:lastRenderedPageBreak/>
        <w:t xml:space="preserve">    &lt;valueIdentifier&gt;</w:t>
      </w:r>
    </w:p>
    <w:p w14:paraId="7BCE0F4B" w14:textId="1D7EF264" w:rsidR="005F75F9" w:rsidRPr="00BF6821" w:rsidRDefault="005F75F9" w:rsidP="00BF6821">
      <w:pPr>
        <w:spacing w:after="0"/>
        <w:rPr>
          <w:rFonts w:ascii="Courier New" w:hAnsi="Courier New" w:cs="Courier New"/>
        </w:rPr>
      </w:pPr>
      <w:r w:rsidRPr="00BF6821">
        <w:rPr>
          <w:rFonts w:ascii="Courier New" w:hAnsi="Courier New" w:cs="Courier New"/>
        </w:rPr>
        <w:t xml:space="preserve">      &lt;system value=”</w:t>
      </w:r>
      <w:r w:rsidR="00640946" w:rsidRPr="00BF6821">
        <w:rPr>
          <w:rFonts w:ascii="Courier New" w:hAnsi="Courier New" w:cs="Courier New"/>
        </w:rPr>
        <w:t>http://hl7.org/fhir/NamingSystem/iccbba-din</w:t>
      </w:r>
      <w:r w:rsidRPr="00BF6821">
        <w:rPr>
          <w:rFonts w:ascii="Courier New" w:hAnsi="Courier New" w:cs="Courier New"/>
        </w:rPr>
        <w:t>”/&gt;</w:t>
      </w:r>
    </w:p>
    <w:p w14:paraId="2B2DBBC4" w14:textId="2A25B109" w:rsidR="005F75F9" w:rsidRPr="00BF6821" w:rsidRDefault="005F75F9" w:rsidP="00BF6821">
      <w:pPr>
        <w:spacing w:after="0"/>
        <w:rPr>
          <w:rFonts w:ascii="Courier New" w:hAnsi="Courier New" w:cs="Courier New"/>
        </w:rPr>
      </w:pPr>
      <w:r w:rsidRPr="00BF6821">
        <w:rPr>
          <w:rFonts w:ascii="Courier New" w:hAnsi="Courier New" w:cs="Courier New"/>
        </w:rPr>
        <w:t xml:space="preserve">      &lt;value value=”the actual DIN string”/&gt;</w:t>
      </w:r>
    </w:p>
    <w:p w14:paraId="14890A13" w14:textId="77777777" w:rsidR="005F75F9" w:rsidRPr="00BF6821" w:rsidRDefault="005F75F9" w:rsidP="00BF6821">
      <w:pPr>
        <w:spacing w:after="0"/>
        <w:rPr>
          <w:rFonts w:ascii="Courier New" w:hAnsi="Courier New" w:cs="Courier New"/>
        </w:rPr>
      </w:pPr>
      <w:r w:rsidRPr="00BF6821">
        <w:rPr>
          <w:rFonts w:ascii="Courier New" w:hAnsi="Courier New" w:cs="Courier New"/>
        </w:rPr>
        <w:t xml:space="preserve">    &lt;/valueIdentifier&gt;</w:t>
      </w:r>
    </w:p>
    <w:p w14:paraId="68543365" w14:textId="78579575" w:rsidR="005F75F9" w:rsidRPr="00BF6821" w:rsidRDefault="00326AE7" w:rsidP="00BF6821">
      <w:pPr>
        <w:spacing w:after="0"/>
        <w:rPr>
          <w:rFonts w:ascii="Courier New" w:hAnsi="Courier New" w:cs="Courier New"/>
        </w:rPr>
      </w:pPr>
      <w:r>
        <w:rPr>
          <w:rFonts w:ascii="Courier New" w:hAnsi="Courier New" w:cs="Courier New"/>
        </w:rPr>
        <w:t xml:space="preserve"> </w:t>
      </w:r>
      <w:r w:rsidR="005F75F9" w:rsidRPr="00BF6821">
        <w:rPr>
          <w:rFonts w:ascii="Courier New" w:hAnsi="Courier New" w:cs="Courier New"/>
        </w:rPr>
        <w:t xml:space="preserve"> &lt;/extension&gt;</w:t>
      </w:r>
    </w:p>
    <w:p w14:paraId="0144A840" w14:textId="03055D6C" w:rsidR="005F75F9" w:rsidRPr="00BF6821" w:rsidRDefault="00326AE7" w:rsidP="005F75F9">
      <w:pPr>
        <w:spacing w:after="0"/>
        <w:rPr>
          <w:rFonts w:ascii="Courier New" w:hAnsi="Courier New" w:cs="Courier New"/>
        </w:rPr>
      </w:pPr>
      <w:r>
        <w:rPr>
          <w:rFonts w:ascii="Courier New" w:hAnsi="Courier New" w:cs="Courier New"/>
        </w:rPr>
        <w:t xml:space="preserve">  &lt;!--</w:t>
      </w:r>
      <w:r w:rsidR="005F75F9" w:rsidRPr="00BF6821">
        <w:rPr>
          <w:rFonts w:ascii="Courier New" w:hAnsi="Courier New" w:cs="Courier New"/>
        </w:rPr>
        <w:t>Additional attributes</w:t>
      </w:r>
      <w:r>
        <w:rPr>
          <w:rFonts w:ascii="Courier New" w:hAnsi="Courier New" w:cs="Courier New"/>
        </w:rPr>
        <w:t>--&gt;</w:t>
      </w:r>
    </w:p>
    <w:p w14:paraId="41F74AB5" w14:textId="7FDD9FB8" w:rsidR="005F75F9" w:rsidRPr="00BF6821" w:rsidRDefault="005F75F9" w:rsidP="005F75F9">
      <w:pPr>
        <w:spacing w:after="0"/>
        <w:rPr>
          <w:rFonts w:ascii="Courier New" w:hAnsi="Courier New" w:cs="Courier New"/>
        </w:rPr>
      </w:pPr>
      <w:r w:rsidRPr="00BF6821">
        <w:rPr>
          <w:rFonts w:ascii="Courier New" w:hAnsi="Courier New" w:cs="Courier New"/>
        </w:rPr>
        <w:t>&lt;/Device&gt;</w:t>
      </w:r>
    </w:p>
    <w:p w14:paraId="22A400AE" w14:textId="77777777" w:rsidR="00E13A0C" w:rsidRDefault="00E13A0C" w:rsidP="005F75F9">
      <w:pPr>
        <w:spacing w:after="0"/>
      </w:pPr>
    </w:p>
    <w:p w14:paraId="60C36FC0" w14:textId="4D5D3014" w:rsidR="005F75F9" w:rsidRDefault="005F75F9" w:rsidP="00E21ED6">
      <w:pPr>
        <w:pStyle w:val="Heading3"/>
      </w:pPr>
      <w:r>
        <w:t xml:space="preserve">FHIR </w:t>
      </w:r>
      <w:r w:rsidRPr="00E32A16">
        <w:t>Example</w:t>
      </w:r>
    </w:p>
    <w:p w14:paraId="23D4771F" w14:textId="77777777" w:rsidR="005F75F9" w:rsidRPr="00BF6821" w:rsidRDefault="005F75F9" w:rsidP="005F75F9">
      <w:pPr>
        <w:spacing w:after="0"/>
        <w:rPr>
          <w:rFonts w:ascii="Courier New" w:hAnsi="Courier New" w:cs="Courier New"/>
        </w:rPr>
      </w:pPr>
      <w:r w:rsidRPr="00BF6821">
        <w:rPr>
          <w:rFonts w:ascii="Courier New" w:hAnsi="Courier New" w:cs="Courier New"/>
        </w:rPr>
        <w:t>&lt;Device xmlns="http://hl7.org/fhir"&gt;</w:t>
      </w:r>
    </w:p>
    <w:p w14:paraId="28EAB2FC" w14:textId="77777777" w:rsidR="005F75F9" w:rsidRPr="00BF6821" w:rsidRDefault="005F75F9" w:rsidP="005F75F9">
      <w:pPr>
        <w:spacing w:after="0"/>
        <w:rPr>
          <w:rFonts w:ascii="Courier New" w:hAnsi="Courier New" w:cs="Courier New"/>
        </w:rPr>
      </w:pPr>
      <w:r w:rsidRPr="00BF6821">
        <w:rPr>
          <w:rFonts w:ascii="Courier New" w:hAnsi="Courier New" w:cs="Courier New"/>
        </w:rPr>
        <w:t>…</w:t>
      </w:r>
    </w:p>
    <w:p w14:paraId="590E82F6" w14:textId="43CA045B" w:rsidR="005F75F9" w:rsidRDefault="005F75F9" w:rsidP="005F75F9">
      <w:pPr>
        <w:spacing w:after="0"/>
        <w:rPr>
          <w:rFonts w:ascii="Courier New" w:hAnsi="Courier New" w:cs="Courier New"/>
        </w:rPr>
      </w:pPr>
      <w:r w:rsidRPr="00BF6821">
        <w:rPr>
          <w:rFonts w:ascii="Courier New" w:hAnsi="Courier New" w:cs="Courier New"/>
        </w:rPr>
        <w:t xml:space="preserve">  &lt;identifier&gt;</w:t>
      </w:r>
    </w:p>
    <w:p w14:paraId="20EE3E12" w14:textId="782B1519" w:rsidR="00326AE7" w:rsidRDefault="00326AE7" w:rsidP="005F75F9">
      <w:pPr>
        <w:spacing w:after="0"/>
        <w:rPr>
          <w:rFonts w:ascii="Courier New" w:hAnsi="Courier New" w:cs="Courier New"/>
        </w:rPr>
      </w:pPr>
      <w:r>
        <w:rPr>
          <w:rFonts w:ascii="Courier New" w:hAnsi="Courier New" w:cs="Courier New"/>
        </w:rPr>
        <w:t xml:space="preserve">    &lt;type&gt;</w:t>
      </w:r>
    </w:p>
    <w:p w14:paraId="27D555CC" w14:textId="7AB02B27" w:rsidR="00326AE7" w:rsidRDefault="00326AE7" w:rsidP="005F75F9">
      <w:pPr>
        <w:spacing w:after="0"/>
        <w:rPr>
          <w:rFonts w:ascii="Courier New" w:hAnsi="Courier New" w:cs="Courier New"/>
        </w:rPr>
      </w:pPr>
      <w:r>
        <w:rPr>
          <w:rFonts w:ascii="Courier New" w:hAnsi="Courier New" w:cs="Courier New"/>
        </w:rPr>
        <w:t xml:space="preserve">      &lt;coding&gt;</w:t>
      </w:r>
    </w:p>
    <w:p w14:paraId="53745DBE" w14:textId="76FEFB3A" w:rsidR="00326AE7" w:rsidRDefault="00326AE7" w:rsidP="005F75F9">
      <w:pPr>
        <w:spacing w:after="0"/>
        <w:rPr>
          <w:rFonts w:ascii="Courier New" w:hAnsi="Courier New" w:cs="Courier New"/>
        </w:rPr>
      </w:pPr>
      <w:r>
        <w:rPr>
          <w:rFonts w:ascii="Courier New" w:hAnsi="Courier New" w:cs="Courier New"/>
        </w:rPr>
        <w:t xml:space="preserve">        &lt;system value=”</w:t>
      </w:r>
      <w:r w:rsidRPr="00BF6821">
        <w:t>http://hl7.org/fhir/v2/0203”/</w:t>
      </w:r>
      <w:r>
        <w:rPr>
          <w:rFonts w:ascii="Courier New" w:hAnsi="Courier New" w:cs="Courier New"/>
        </w:rPr>
        <w:t>&gt;</w:t>
      </w:r>
    </w:p>
    <w:p w14:paraId="189C426B" w14:textId="4843BB91" w:rsidR="00326AE7" w:rsidRDefault="00326AE7" w:rsidP="005F75F9">
      <w:pPr>
        <w:spacing w:after="0"/>
        <w:rPr>
          <w:rFonts w:ascii="Courier New" w:hAnsi="Courier New" w:cs="Courier New"/>
        </w:rPr>
      </w:pPr>
      <w:r>
        <w:rPr>
          <w:rFonts w:ascii="Courier New" w:hAnsi="Courier New" w:cs="Courier New"/>
        </w:rPr>
        <w:t xml:space="preserve">        &lt;display value=”Serial Number”/&gt;</w:t>
      </w:r>
    </w:p>
    <w:p w14:paraId="1F83B62C" w14:textId="4BB4EE8D" w:rsidR="00326AE7" w:rsidRDefault="00326AE7" w:rsidP="005F75F9">
      <w:pPr>
        <w:spacing w:after="0"/>
        <w:rPr>
          <w:rFonts w:ascii="Courier New" w:hAnsi="Courier New" w:cs="Courier New"/>
        </w:rPr>
      </w:pPr>
      <w:r>
        <w:rPr>
          <w:rFonts w:ascii="Courier New" w:hAnsi="Courier New" w:cs="Courier New"/>
        </w:rPr>
        <w:t xml:space="preserve">        &lt;code value=”SNO”/&gt;</w:t>
      </w:r>
    </w:p>
    <w:p w14:paraId="16E29487" w14:textId="3E847603" w:rsidR="00326AE7" w:rsidRDefault="00326AE7" w:rsidP="005F75F9">
      <w:pPr>
        <w:spacing w:after="0"/>
        <w:rPr>
          <w:rFonts w:ascii="Courier New" w:hAnsi="Courier New" w:cs="Courier New"/>
        </w:rPr>
      </w:pPr>
      <w:r>
        <w:rPr>
          <w:rFonts w:ascii="Courier New" w:hAnsi="Courier New" w:cs="Courier New"/>
        </w:rPr>
        <w:t xml:space="preserve">      &lt;/coding&gt;</w:t>
      </w:r>
    </w:p>
    <w:p w14:paraId="3EC66D8E" w14:textId="43E6612F" w:rsidR="00326AE7" w:rsidRPr="00BF6821" w:rsidRDefault="00326AE7" w:rsidP="005F75F9">
      <w:pPr>
        <w:spacing w:after="0"/>
        <w:rPr>
          <w:rFonts w:ascii="Courier New" w:hAnsi="Courier New" w:cs="Courier New"/>
        </w:rPr>
      </w:pPr>
      <w:r>
        <w:rPr>
          <w:rFonts w:ascii="Courier New" w:hAnsi="Courier New" w:cs="Courier New"/>
        </w:rPr>
        <w:t xml:space="preserve">    &lt;/type&gt;</w:t>
      </w:r>
    </w:p>
    <w:p w14:paraId="1CC3061D" w14:textId="5B5A97F1" w:rsidR="005F75F9" w:rsidRPr="00BF6821" w:rsidRDefault="005F75F9" w:rsidP="005F75F9">
      <w:pPr>
        <w:spacing w:after="0"/>
        <w:rPr>
          <w:rFonts w:ascii="Courier New" w:hAnsi="Courier New" w:cs="Courier New"/>
        </w:rPr>
      </w:pPr>
      <w:r w:rsidRPr="00BF6821">
        <w:rPr>
          <w:rFonts w:ascii="Courier New" w:hAnsi="Courier New" w:cs="Courier New"/>
        </w:rPr>
        <w:t xml:space="preserve">    &lt;value value="1234567890"/&gt;</w:t>
      </w:r>
    </w:p>
    <w:p w14:paraId="00CE4BD9" w14:textId="3D83F169" w:rsidR="005F75F9" w:rsidRPr="00BF6821" w:rsidRDefault="005F75F9" w:rsidP="005F75F9">
      <w:pPr>
        <w:spacing w:after="0"/>
        <w:rPr>
          <w:rFonts w:ascii="Courier New" w:hAnsi="Courier New" w:cs="Courier New"/>
        </w:rPr>
      </w:pPr>
      <w:r w:rsidRPr="00BF6821">
        <w:rPr>
          <w:rFonts w:ascii="Courier New" w:hAnsi="Courier New" w:cs="Courier New"/>
        </w:rPr>
        <w:t xml:space="preserve">  &lt;/identifier&gt;</w:t>
      </w:r>
    </w:p>
    <w:p w14:paraId="054077FC" w14:textId="77777777" w:rsidR="005F75F9" w:rsidRPr="00BF6821" w:rsidRDefault="005F75F9" w:rsidP="005F75F9">
      <w:pPr>
        <w:spacing w:after="0"/>
        <w:rPr>
          <w:rFonts w:ascii="Courier New" w:hAnsi="Courier New" w:cs="Courier New"/>
        </w:rPr>
      </w:pPr>
      <w:r w:rsidRPr="00BF6821">
        <w:rPr>
          <w:rFonts w:ascii="Courier New" w:hAnsi="Courier New" w:cs="Courier New"/>
        </w:rPr>
        <w:t xml:space="preserve">  &lt;udiCarrier&gt;</w:t>
      </w:r>
    </w:p>
    <w:p w14:paraId="1547C236" w14:textId="71D18820" w:rsidR="005F75F9" w:rsidRPr="00BF6821" w:rsidRDefault="005F75F9" w:rsidP="005F75F9">
      <w:pPr>
        <w:spacing w:after="0"/>
        <w:rPr>
          <w:rFonts w:ascii="Courier New" w:hAnsi="Courier New" w:cs="Courier New"/>
        </w:rPr>
      </w:pPr>
      <w:r w:rsidRPr="00BF6821">
        <w:rPr>
          <w:rFonts w:ascii="Courier New" w:hAnsi="Courier New" w:cs="Courier New"/>
        </w:rPr>
        <w:t xml:space="preserve">    &lt;system value=”</w:t>
      </w:r>
      <w:r w:rsidR="00134EC9" w:rsidRPr="00134EC9">
        <w:rPr>
          <w:rFonts w:ascii="Courier New" w:hAnsi="Courier New" w:cs="Courier New"/>
        </w:rPr>
        <w:t>http://hl7.org/fhir/NamingSystem/fda-udi</w:t>
      </w:r>
      <w:r w:rsidRPr="00BF6821">
        <w:rPr>
          <w:rFonts w:ascii="Courier New" w:hAnsi="Courier New" w:cs="Courier New"/>
        </w:rPr>
        <w:t>”/&gt;</w:t>
      </w:r>
    </w:p>
    <w:p w14:paraId="7CF25169" w14:textId="174490B8" w:rsidR="005F75F9" w:rsidRPr="00BF6821" w:rsidRDefault="005F75F9" w:rsidP="005F75F9">
      <w:pPr>
        <w:spacing w:after="0"/>
        <w:rPr>
          <w:rFonts w:ascii="Courier New" w:hAnsi="Courier New" w:cs="Courier New"/>
        </w:rPr>
      </w:pPr>
      <w:r w:rsidRPr="00BF6821">
        <w:rPr>
          <w:rFonts w:ascii="Courier New" w:hAnsi="Courier New" w:cs="Courier New"/>
        </w:rPr>
        <w:t xml:space="preserve">    &lt;value="{01}0061414999996{17}910304{10}123ABC{21}1234567890"/&gt;</w:t>
      </w:r>
    </w:p>
    <w:p w14:paraId="772A2820" w14:textId="3C70A947" w:rsidR="005F75F9" w:rsidRPr="00BF6821" w:rsidRDefault="005F75F9" w:rsidP="005F75F9">
      <w:pPr>
        <w:spacing w:after="0"/>
        <w:rPr>
          <w:rFonts w:ascii="Courier New" w:hAnsi="Courier New" w:cs="Courier New"/>
        </w:rPr>
      </w:pPr>
      <w:r w:rsidRPr="00BF6821">
        <w:rPr>
          <w:rFonts w:ascii="Courier New" w:hAnsi="Courier New" w:cs="Courier New"/>
        </w:rPr>
        <w:t xml:space="preserve">  &lt;/udiCarrier&gt;</w:t>
      </w:r>
    </w:p>
    <w:p w14:paraId="27525720" w14:textId="491AD8BE" w:rsidR="005F75F9" w:rsidRPr="00BF6821" w:rsidRDefault="005F75F9" w:rsidP="005F75F9">
      <w:pPr>
        <w:spacing w:after="0"/>
        <w:rPr>
          <w:rFonts w:ascii="Courier New" w:hAnsi="Courier New" w:cs="Courier New"/>
        </w:rPr>
      </w:pPr>
      <w:r w:rsidRPr="00BF6821">
        <w:rPr>
          <w:rFonts w:ascii="Courier New" w:hAnsi="Courier New" w:cs="Courier New"/>
        </w:rPr>
        <w:t xml:space="preserve">  &lt;type&gt;</w:t>
      </w:r>
    </w:p>
    <w:p w14:paraId="1CE53813" w14:textId="25F9C399" w:rsidR="005F75F9" w:rsidRPr="00BF6821" w:rsidRDefault="005F75F9" w:rsidP="005F75F9">
      <w:pPr>
        <w:spacing w:after="0"/>
        <w:rPr>
          <w:rFonts w:ascii="Courier New" w:hAnsi="Courier New" w:cs="Courier New"/>
        </w:rPr>
      </w:pPr>
      <w:r w:rsidRPr="00BF6821">
        <w:rPr>
          <w:rFonts w:ascii="Courier New" w:hAnsi="Courier New" w:cs="Courier New"/>
        </w:rPr>
        <w:t xml:space="preserve">    &lt;coding&gt;</w:t>
      </w:r>
    </w:p>
    <w:p w14:paraId="20A4F564" w14:textId="0AC77640" w:rsidR="005F75F9" w:rsidRPr="00BF6821" w:rsidRDefault="005F75F9" w:rsidP="005F75F9">
      <w:pPr>
        <w:spacing w:after="0"/>
        <w:rPr>
          <w:rFonts w:ascii="Courier New" w:hAnsi="Courier New" w:cs="Courier New"/>
        </w:rPr>
      </w:pPr>
      <w:r w:rsidRPr="00BF6821">
        <w:rPr>
          <w:rFonts w:ascii="Courier New" w:hAnsi="Courier New" w:cs="Courier New"/>
        </w:rPr>
        <w:t xml:space="preserve">      </w:t>
      </w:r>
      <w:r w:rsidR="00326AE7">
        <w:rPr>
          <w:rFonts w:ascii="Courier New" w:hAnsi="Courier New" w:cs="Courier New"/>
        </w:rPr>
        <w:t>&lt;</w:t>
      </w:r>
      <w:r w:rsidRPr="00BF6821">
        <w:rPr>
          <w:rFonts w:ascii="Courier New" w:hAnsi="Courier New" w:cs="Courier New"/>
        </w:rPr>
        <w:t>system value="</w:t>
      </w:r>
      <w:r w:rsidR="00134EC9" w:rsidRPr="00134EC9">
        <w:rPr>
          <w:rFonts w:ascii="Courier New" w:hAnsi="Courier New" w:cs="Courier New"/>
        </w:rPr>
        <w:t>http://hl7.org/fhir/NamingSystem/gs1-di</w:t>
      </w:r>
      <w:r w:rsidRPr="00BF6821">
        <w:rPr>
          <w:rFonts w:ascii="Courier New" w:hAnsi="Courier New" w:cs="Courier New"/>
        </w:rPr>
        <w:t>"/&gt;</w:t>
      </w:r>
    </w:p>
    <w:p w14:paraId="7366B18D" w14:textId="21103D68" w:rsidR="005F75F9" w:rsidRPr="00BF6821" w:rsidRDefault="005F75F9" w:rsidP="005F75F9">
      <w:pPr>
        <w:spacing w:after="0"/>
        <w:rPr>
          <w:rFonts w:ascii="Courier New" w:hAnsi="Courier New" w:cs="Courier New"/>
        </w:rPr>
      </w:pPr>
      <w:r w:rsidRPr="00BF6821">
        <w:rPr>
          <w:rFonts w:ascii="Courier New" w:hAnsi="Courier New" w:cs="Courier New"/>
        </w:rPr>
        <w:t xml:space="preserve">      &lt;value value="0061414999996"/&gt;</w:t>
      </w:r>
    </w:p>
    <w:p w14:paraId="45B65F37" w14:textId="0710958D" w:rsidR="005F75F9" w:rsidRPr="00BF6821" w:rsidRDefault="005F75F9" w:rsidP="005F75F9">
      <w:pPr>
        <w:spacing w:after="0"/>
        <w:rPr>
          <w:rFonts w:ascii="Courier New" w:hAnsi="Courier New" w:cs="Courier New"/>
        </w:rPr>
      </w:pPr>
      <w:r w:rsidRPr="00BF6821">
        <w:rPr>
          <w:rFonts w:ascii="Courier New" w:hAnsi="Courier New" w:cs="Courier New"/>
        </w:rPr>
        <w:t xml:space="preserve">    &lt;/coding&gt;</w:t>
      </w:r>
    </w:p>
    <w:p w14:paraId="006F9787" w14:textId="224602BD" w:rsidR="005F75F9" w:rsidRPr="00BF6821" w:rsidRDefault="005F75F9" w:rsidP="005F75F9">
      <w:pPr>
        <w:spacing w:after="0"/>
        <w:rPr>
          <w:rFonts w:ascii="Courier New" w:hAnsi="Courier New" w:cs="Courier New"/>
        </w:rPr>
      </w:pPr>
      <w:r w:rsidRPr="00BF6821">
        <w:rPr>
          <w:rFonts w:ascii="Courier New" w:hAnsi="Courier New" w:cs="Courier New"/>
        </w:rPr>
        <w:t xml:space="preserve">  &lt;/type&gt;</w:t>
      </w:r>
    </w:p>
    <w:p w14:paraId="5414C1A6" w14:textId="4DE66374" w:rsidR="005F75F9" w:rsidRPr="00BF6821" w:rsidRDefault="005F75F9" w:rsidP="005F75F9">
      <w:pPr>
        <w:spacing w:after="0"/>
        <w:rPr>
          <w:rFonts w:ascii="Courier New" w:hAnsi="Courier New" w:cs="Courier New"/>
        </w:rPr>
      </w:pPr>
      <w:r w:rsidRPr="00BF6821">
        <w:rPr>
          <w:rFonts w:ascii="Courier New" w:hAnsi="Courier New" w:cs="Courier New"/>
        </w:rPr>
        <w:t xml:space="preserve">  &lt;expiry value = “1991</w:t>
      </w:r>
      <w:r w:rsidR="00326AE7">
        <w:rPr>
          <w:rFonts w:ascii="Courier New" w:hAnsi="Courier New" w:cs="Courier New"/>
        </w:rPr>
        <w:t>-</w:t>
      </w:r>
      <w:r w:rsidRPr="00BF6821">
        <w:rPr>
          <w:rFonts w:ascii="Courier New" w:hAnsi="Courier New" w:cs="Courier New"/>
        </w:rPr>
        <w:t>03</w:t>
      </w:r>
      <w:r w:rsidR="00326AE7">
        <w:rPr>
          <w:rFonts w:ascii="Courier New" w:hAnsi="Courier New" w:cs="Courier New"/>
        </w:rPr>
        <w:t>-</w:t>
      </w:r>
      <w:r w:rsidRPr="00BF6821">
        <w:rPr>
          <w:rFonts w:ascii="Courier New" w:hAnsi="Courier New" w:cs="Courier New"/>
        </w:rPr>
        <w:t>04”/&gt;</w:t>
      </w:r>
      <w:r w:rsidR="00326AE7">
        <w:rPr>
          <w:rFonts w:ascii="Courier New" w:hAnsi="Courier New" w:cs="Courier New"/>
        </w:rPr>
        <w:t xml:space="preserve">    </w:t>
      </w:r>
      <w:r w:rsidRPr="00BF6821">
        <w:rPr>
          <w:rFonts w:ascii="Courier New" w:hAnsi="Courier New" w:cs="Courier New"/>
        </w:rPr>
        <w:t>&lt;!—Note the century</w:t>
      </w:r>
      <w:r w:rsidR="00134EC9">
        <w:rPr>
          <w:rFonts w:ascii="Courier New" w:hAnsi="Courier New" w:cs="Courier New"/>
        </w:rPr>
        <w:t xml:space="preserve"> + reformatting</w:t>
      </w:r>
      <w:r w:rsidRPr="00BF6821">
        <w:rPr>
          <w:rFonts w:ascii="Courier New" w:hAnsi="Courier New" w:cs="Courier New"/>
        </w:rPr>
        <w:t xml:space="preserve"> --&gt;</w:t>
      </w:r>
    </w:p>
    <w:p w14:paraId="3B55F292" w14:textId="1A822CEA" w:rsidR="005F75F9" w:rsidRPr="00BF6821" w:rsidRDefault="005F75F9" w:rsidP="005F75F9">
      <w:pPr>
        <w:spacing w:after="0"/>
        <w:rPr>
          <w:rFonts w:ascii="Courier New" w:hAnsi="Courier New" w:cs="Courier New"/>
        </w:rPr>
      </w:pPr>
      <w:r w:rsidRPr="00BF6821">
        <w:rPr>
          <w:rFonts w:ascii="Courier New" w:hAnsi="Courier New" w:cs="Courier New"/>
        </w:rPr>
        <w:t xml:space="preserve">  &lt;lotNumber value=”123ABC”/&gt;</w:t>
      </w:r>
    </w:p>
    <w:p w14:paraId="6B47943E" w14:textId="77777777" w:rsidR="005F75F9" w:rsidRPr="00BF6821" w:rsidRDefault="005F75F9" w:rsidP="005F75F9">
      <w:pPr>
        <w:spacing w:after="0"/>
        <w:rPr>
          <w:rFonts w:ascii="Courier New" w:hAnsi="Courier New" w:cs="Courier New"/>
        </w:rPr>
      </w:pPr>
      <w:r w:rsidRPr="00BF6821">
        <w:rPr>
          <w:rFonts w:ascii="Courier New" w:hAnsi="Courier New" w:cs="Courier New"/>
        </w:rPr>
        <w:t>…</w:t>
      </w:r>
    </w:p>
    <w:p w14:paraId="340EFA1F" w14:textId="77777777" w:rsidR="005F75F9" w:rsidRPr="00BF6821" w:rsidRDefault="005F75F9" w:rsidP="005F75F9">
      <w:pPr>
        <w:spacing w:after="0"/>
        <w:rPr>
          <w:rFonts w:ascii="Courier New" w:hAnsi="Courier New" w:cs="Courier New"/>
        </w:rPr>
      </w:pPr>
      <w:r w:rsidRPr="00BF6821">
        <w:rPr>
          <w:rFonts w:ascii="Courier New" w:hAnsi="Courier New" w:cs="Courier New"/>
        </w:rPr>
        <w:t>&lt;/Device&gt;</w:t>
      </w:r>
    </w:p>
    <w:p w14:paraId="1E1A1C98" w14:textId="0F01C356" w:rsidR="005F75F9" w:rsidRDefault="005F75F9" w:rsidP="00BF6821">
      <w:pPr>
        <w:pStyle w:val="Heading1"/>
      </w:pPr>
      <w:r>
        <w:br w:type="page"/>
      </w:r>
      <w:r w:rsidR="00BE0989">
        <w:lastRenderedPageBreak/>
        <w:t>Additional Recommendations</w:t>
      </w:r>
    </w:p>
    <w:p w14:paraId="297119A2" w14:textId="77777777" w:rsidR="00B00A51" w:rsidRDefault="00BE0989">
      <w:r>
        <w:t xml:space="preserve">This section provides recommended guidance for increased interoperability, but this guidance may not be practical for all systems or appropriate for all use-cases.  It presumes </w:t>
      </w:r>
      <w:r w:rsidR="00B00A51">
        <w:t>that</w:t>
      </w:r>
      <w:r>
        <w:t xml:space="preserve"> the system creating the instance</w:t>
      </w:r>
      <w:r w:rsidR="00B00A51">
        <w:t>:</w:t>
      </w:r>
    </w:p>
    <w:p w14:paraId="1EB93576" w14:textId="33960B2E" w:rsidR="00B00A51" w:rsidRDefault="00B00A51" w:rsidP="00BF6821">
      <w:pPr>
        <w:numPr>
          <w:ilvl w:val="0"/>
          <w:numId w:val="5"/>
        </w:numPr>
      </w:pPr>
      <w:r>
        <w:t xml:space="preserve">Is able to convert the raw scanned barcode text to the </w:t>
      </w:r>
      <w:r w:rsidR="004C47A1">
        <w:t xml:space="preserve">UDI carrier </w:t>
      </w:r>
      <w:r>
        <w:t>Human Readable Form (HRF) string</w:t>
      </w:r>
    </w:p>
    <w:p w14:paraId="58931D6B" w14:textId="3B904081" w:rsidR="00BE0989" w:rsidRDefault="00BE0989" w:rsidP="00BF6821">
      <w:pPr>
        <w:numPr>
          <w:ilvl w:val="0"/>
          <w:numId w:val="5"/>
        </w:numPr>
      </w:pPr>
      <w:r>
        <w:t xml:space="preserve">is able to parse the various forms of UDIs and can extract the </w:t>
      </w:r>
      <w:r w:rsidR="00B00A51">
        <w:t>various component elements</w:t>
      </w:r>
    </w:p>
    <w:p w14:paraId="28076590" w14:textId="4ACCF45C" w:rsidR="00B00A51" w:rsidRDefault="00B00A51" w:rsidP="00BF6821">
      <w:pPr>
        <w:numPr>
          <w:ilvl w:val="0"/>
          <w:numId w:val="5"/>
        </w:numPr>
      </w:pPr>
      <w:r>
        <w:t>is not transmitting in a bandwidth or size-constrained environment or other environment where including both the UDI and its associated component elements would be problematic</w:t>
      </w:r>
    </w:p>
    <w:p w14:paraId="33C73966" w14:textId="28AF756E" w:rsidR="00B00A51" w:rsidRPr="00BF6821" w:rsidRDefault="00B00A51" w:rsidP="00BF6821">
      <w:pPr>
        <w:numPr>
          <w:ilvl w:val="0"/>
          <w:numId w:val="5"/>
        </w:numPr>
      </w:pPr>
      <w:r>
        <w:t>is transmitting in an environment where exposing the UDI components would provide business value</w:t>
      </w:r>
    </w:p>
    <w:p w14:paraId="6AC7B321" w14:textId="268075FE" w:rsidR="005F75F9" w:rsidRDefault="00B00A51" w:rsidP="005F75F9">
      <w:pPr>
        <w:spacing w:after="0"/>
      </w:pPr>
      <w:r>
        <w:t>Examples of where these rules may not make sense include instances created by automated devices with limited processing power or complexity as well as general-purpose systems for whom UDI is considered “just another identifier”.</w:t>
      </w:r>
    </w:p>
    <w:p w14:paraId="293B5011" w14:textId="637B57E4" w:rsidR="00B00A51" w:rsidRDefault="00B00A51" w:rsidP="005F75F9">
      <w:pPr>
        <w:spacing w:after="0"/>
      </w:pPr>
    </w:p>
    <w:p w14:paraId="0DE7BD1E" w14:textId="25177D5F" w:rsidR="00B00A51" w:rsidRDefault="00B00A51" w:rsidP="005F75F9">
      <w:pPr>
        <w:spacing w:after="0"/>
      </w:pPr>
      <w:r>
        <w:t>The guidance that follows reflects implementer feedback and should be considered best-practice for systems and implementation guides that fall within the criteria listed above.</w:t>
      </w:r>
    </w:p>
    <w:p w14:paraId="0F0089E9" w14:textId="0FDA9284" w:rsidR="00B00A51" w:rsidRDefault="00B00A51" w:rsidP="005F75F9">
      <w:pPr>
        <w:spacing w:after="0"/>
      </w:pPr>
    </w:p>
    <w:p w14:paraId="4F337F95" w14:textId="56B2EE4B" w:rsidR="00B00A51" w:rsidRDefault="00024835" w:rsidP="005F75F9">
      <w:pPr>
        <w:spacing w:after="0"/>
      </w:pPr>
      <w:r>
        <w:t>Profiles will be defined allowing systems and implementation guides to indicate whether they conform to these additional conformance requirements.</w:t>
      </w:r>
    </w:p>
    <w:p w14:paraId="296C8EBC" w14:textId="77777777" w:rsidR="00024835" w:rsidRDefault="00024835" w:rsidP="005F75F9">
      <w:pPr>
        <w:spacing w:after="0"/>
      </w:pPr>
    </w:p>
    <w:p w14:paraId="6FD87423" w14:textId="368E658D" w:rsidR="00B00A51" w:rsidRDefault="00B00A51" w:rsidP="00BF6821">
      <w:pPr>
        <w:pStyle w:val="Heading2"/>
      </w:pPr>
      <w:r>
        <w:t>Conformance requirements:</w:t>
      </w:r>
    </w:p>
    <w:p w14:paraId="293C94F2" w14:textId="6A19E93B" w:rsidR="00024835" w:rsidRDefault="00024835">
      <w:pPr>
        <w:spacing w:after="0"/>
      </w:pPr>
      <w:r>
        <w:t>In accordance with the expressive capability of the HL7 standard being used to convey the instance and any standard-specific requirements (e.g. use of OID vs. URI):</w:t>
      </w:r>
    </w:p>
    <w:p w14:paraId="5E61BCD5" w14:textId="31CEBADA" w:rsidR="00024835" w:rsidRDefault="00024835" w:rsidP="00BF6821">
      <w:pPr>
        <w:numPr>
          <w:ilvl w:val="0"/>
          <w:numId w:val="6"/>
        </w:numPr>
        <w:spacing w:after="0"/>
      </w:pPr>
      <w:r>
        <w:t>Systems SHALL transmit the UDI value, SHALL do so using only the Human Readable Form string (HRF) and SHALL ensure that the OID or URL identifying the UDI assigning system is specified.</w:t>
      </w:r>
      <w:r w:rsidR="0035565B">
        <w:t xml:space="preserve">  If the encoding format has both a regular and an exchangeable HRF syntax, the exchangeable syntax SHALL be used.</w:t>
      </w:r>
      <w:r>
        <w:t xml:space="preserve">  Where a serial number is being conveyed and the intent of the instance is to identify a specific device, the UDI SHALL be included in the element which communicates that intention (if supported by the HL7 standard used)</w:t>
      </w:r>
    </w:p>
    <w:p w14:paraId="56BE4C6A" w14:textId="498AF8CC" w:rsidR="00024835" w:rsidRDefault="00024835" w:rsidP="00BF6821">
      <w:pPr>
        <w:numPr>
          <w:ilvl w:val="0"/>
          <w:numId w:val="6"/>
        </w:numPr>
        <w:spacing w:after="0"/>
      </w:pPr>
      <w:r>
        <w:t>Systems SHALL transmit all components found within the UDI for which data element locations are defined for the HL7 standard used and SHALL ensure that the data present within the components matches the data conveyed within the UDI</w:t>
      </w:r>
    </w:p>
    <w:p w14:paraId="3209F2EC" w14:textId="77777777" w:rsidR="00E32869" w:rsidRDefault="00024835" w:rsidP="00BF6821">
      <w:pPr>
        <w:numPr>
          <w:ilvl w:val="0"/>
          <w:numId w:val="6"/>
        </w:numPr>
        <w:spacing w:after="0"/>
      </w:pPr>
      <w:r>
        <w:t>When conveying the DI and DIN components, the system SHALL ensure that the appropriate OID or URL</w:t>
      </w:r>
      <w:r w:rsidR="00E32869">
        <w:t xml:space="preserve"> is declared</w:t>
      </w:r>
    </w:p>
    <w:p w14:paraId="78EB3BE6" w14:textId="77777777" w:rsidR="00E32869" w:rsidRDefault="00E32869" w:rsidP="00BF6821">
      <w:pPr>
        <w:numPr>
          <w:ilvl w:val="0"/>
          <w:numId w:val="6"/>
        </w:numPr>
        <w:spacing w:after="0"/>
      </w:pPr>
      <w:r>
        <w:t>Where the HL7 standard being used supports both OIDs and URLs (i.e. v2), the system SHALL be capable of recognizing both approaches and recognizing their equivalence.</w:t>
      </w:r>
    </w:p>
    <w:p w14:paraId="6F8E0138" w14:textId="77777777" w:rsidR="00934BB9" w:rsidRDefault="00934BB9" w:rsidP="003527B3"/>
    <w:p w14:paraId="35D1B2DC" w14:textId="33F67D10" w:rsidR="00934BB9" w:rsidRDefault="00934BB9" w:rsidP="003527B3">
      <w:r>
        <w:t>Paul moves that this UDI proposal be accepted as amended with the cosmetic changes note to be done shortly, Lloyd seconds.   Vote:  13/0/1, motion carries.</w:t>
      </w:r>
    </w:p>
    <w:sectPr w:rsidR="00934BB9" w:rsidSect="00455F1E">
      <w:pgSz w:w="12240" w:h="15840"/>
      <w:pgMar w:top="720" w:right="720" w:bottom="720" w:left="72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7B21E3D" w14:textId="77777777" w:rsidR="00862AB8" w:rsidRDefault="00862AB8" w:rsidP="008F076C">
      <w:pPr>
        <w:spacing w:after="0" w:line="240" w:lineRule="auto"/>
      </w:pPr>
      <w:r>
        <w:separator/>
      </w:r>
    </w:p>
  </w:endnote>
  <w:endnote w:type="continuationSeparator" w:id="0">
    <w:p w14:paraId="7205ADF2" w14:textId="77777777" w:rsidR="00862AB8" w:rsidRDefault="00862AB8" w:rsidP="008F076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FAAC1B" w14:textId="77777777" w:rsidR="00862AB8" w:rsidRDefault="00862AB8" w:rsidP="008F076C">
      <w:pPr>
        <w:spacing w:after="0" w:line="240" w:lineRule="auto"/>
      </w:pPr>
      <w:r>
        <w:separator/>
      </w:r>
    </w:p>
  </w:footnote>
  <w:footnote w:type="continuationSeparator" w:id="0">
    <w:p w14:paraId="5D90B9FC" w14:textId="77777777" w:rsidR="00862AB8" w:rsidRDefault="00862AB8" w:rsidP="008F076C">
      <w:pPr>
        <w:spacing w:after="0" w:line="240" w:lineRule="auto"/>
      </w:pPr>
      <w:r>
        <w:continuationSeparator/>
      </w:r>
    </w:p>
  </w:footnote>
  <w:footnote w:id="1">
    <w:p w14:paraId="3EBA85F4" w14:textId="189B91CB" w:rsidR="00934BB9" w:rsidRDefault="00934BB9" w:rsidP="008F076C">
      <w:pPr>
        <w:pStyle w:val="FootnoteText"/>
      </w:pPr>
      <w:r>
        <w:rPr>
          <w:rStyle w:val="FootnoteReference"/>
        </w:rPr>
        <w:footnoteRef/>
      </w:r>
      <w:r>
        <w:t xml:space="preserve"> </w:t>
      </w:r>
      <w:hyperlink r:id="rId1" w:history="1">
        <w:r w:rsidRPr="005E0E5F">
          <w:rPr>
            <w:rStyle w:val="Hyperlink"/>
          </w:rPr>
          <w:t>http://www.fda.gov/downloads/MedicalDevices/DeviceRegulationandGuidance/UniqueDeviceIdentification/GlobalUDIDatabaseGUDID/UCM396595.doc</w:t>
        </w:r>
      </w:hyperlink>
    </w:p>
  </w:footnote>
  <w:footnote w:id="2">
    <w:p w14:paraId="7F09A711" w14:textId="5CE0FC5A" w:rsidR="009E32AA" w:rsidRDefault="009E32AA">
      <w:pPr>
        <w:pStyle w:val="FootnoteText"/>
      </w:pPr>
      <w:r>
        <w:rPr>
          <w:rStyle w:val="FootnoteReference"/>
        </w:rPr>
        <w:footnoteRef/>
      </w:r>
      <w:r>
        <w:t xml:space="preserve"> Is referred to as ‘Easily readable plain-text in the FDA UDI regulation.</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6C670A2"/>
    <w:multiLevelType w:val="hybridMultilevel"/>
    <w:tmpl w:val="6DDAB0A6"/>
    <w:lvl w:ilvl="0" w:tplc="7E562D04">
      <w:start w:val="2014"/>
      <w:numFmt w:val="bullet"/>
      <w:lvlText w:val=""/>
      <w:lvlJc w:val="left"/>
      <w:pPr>
        <w:ind w:left="720" w:hanging="360"/>
      </w:pPr>
      <w:rPr>
        <w:rFonts w:ascii="Symbol" w:eastAsia="Calibri" w:hAnsi="Symbol" w:cs="Times New Roman"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 w15:restartNumberingAfterBreak="0">
    <w:nsid w:val="22345244"/>
    <w:multiLevelType w:val="hybridMultilevel"/>
    <w:tmpl w:val="6E72831C"/>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 w15:restartNumberingAfterBreak="0">
    <w:nsid w:val="30782505"/>
    <w:multiLevelType w:val="hybridMultilevel"/>
    <w:tmpl w:val="A1129F64"/>
    <w:lvl w:ilvl="0" w:tplc="5B30A5BC">
      <w:start w:val="1"/>
      <w:numFmt w:val="decimalZero"/>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3" w15:restartNumberingAfterBreak="0">
    <w:nsid w:val="31B3571B"/>
    <w:multiLevelType w:val="hybridMultilevel"/>
    <w:tmpl w:val="149271EA"/>
    <w:lvl w:ilvl="0" w:tplc="EE80604E">
      <w:start w:val="2014"/>
      <w:numFmt w:val="bullet"/>
      <w:lvlText w:val=""/>
      <w:lvlJc w:val="left"/>
      <w:pPr>
        <w:ind w:left="720" w:hanging="360"/>
      </w:pPr>
      <w:rPr>
        <w:rFonts w:ascii="Symbol" w:eastAsia="Calibri" w:hAnsi="Symbol" w:cs="Times New Roman"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4" w15:restartNumberingAfterBreak="0">
    <w:nsid w:val="42C95B5C"/>
    <w:multiLevelType w:val="hybridMultilevel"/>
    <w:tmpl w:val="2E30592E"/>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5" w15:restartNumberingAfterBreak="0">
    <w:nsid w:val="72F02891"/>
    <w:multiLevelType w:val="hybridMultilevel"/>
    <w:tmpl w:val="FA0C632A"/>
    <w:lvl w:ilvl="0" w:tplc="10090001">
      <w:start w:val="1"/>
      <w:numFmt w:val="bullet"/>
      <w:lvlText w:val=""/>
      <w:lvlJc w:val="left"/>
      <w:pPr>
        <w:ind w:left="774" w:hanging="360"/>
      </w:pPr>
      <w:rPr>
        <w:rFonts w:ascii="Symbol" w:hAnsi="Symbol" w:hint="default"/>
      </w:rPr>
    </w:lvl>
    <w:lvl w:ilvl="1" w:tplc="10090003" w:tentative="1">
      <w:start w:val="1"/>
      <w:numFmt w:val="bullet"/>
      <w:lvlText w:val="o"/>
      <w:lvlJc w:val="left"/>
      <w:pPr>
        <w:ind w:left="1494" w:hanging="360"/>
      </w:pPr>
      <w:rPr>
        <w:rFonts w:ascii="Courier New" w:hAnsi="Courier New" w:cs="Courier New" w:hint="default"/>
      </w:rPr>
    </w:lvl>
    <w:lvl w:ilvl="2" w:tplc="10090005" w:tentative="1">
      <w:start w:val="1"/>
      <w:numFmt w:val="bullet"/>
      <w:lvlText w:val=""/>
      <w:lvlJc w:val="left"/>
      <w:pPr>
        <w:ind w:left="2214" w:hanging="360"/>
      </w:pPr>
      <w:rPr>
        <w:rFonts w:ascii="Wingdings" w:hAnsi="Wingdings" w:hint="default"/>
      </w:rPr>
    </w:lvl>
    <w:lvl w:ilvl="3" w:tplc="10090001" w:tentative="1">
      <w:start w:val="1"/>
      <w:numFmt w:val="bullet"/>
      <w:lvlText w:val=""/>
      <w:lvlJc w:val="left"/>
      <w:pPr>
        <w:ind w:left="2934" w:hanging="360"/>
      </w:pPr>
      <w:rPr>
        <w:rFonts w:ascii="Symbol" w:hAnsi="Symbol" w:hint="default"/>
      </w:rPr>
    </w:lvl>
    <w:lvl w:ilvl="4" w:tplc="10090003" w:tentative="1">
      <w:start w:val="1"/>
      <w:numFmt w:val="bullet"/>
      <w:lvlText w:val="o"/>
      <w:lvlJc w:val="left"/>
      <w:pPr>
        <w:ind w:left="3654" w:hanging="360"/>
      </w:pPr>
      <w:rPr>
        <w:rFonts w:ascii="Courier New" w:hAnsi="Courier New" w:cs="Courier New" w:hint="default"/>
      </w:rPr>
    </w:lvl>
    <w:lvl w:ilvl="5" w:tplc="10090005" w:tentative="1">
      <w:start w:val="1"/>
      <w:numFmt w:val="bullet"/>
      <w:lvlText w:val=""/>
      <w:lvlJc w:val="left"/>
      <w:pPr>
        <w:ind w:left="4374" w:hanging="360"/>
      </w:pPr>
      <w:rPr>
        <w:rFonts w:ascii="Wingdings" w:hAnsi="Wingdings" w:hint="default"/>
      </w:rPr>
    </w:lvl>
    <w:lvl w:ilvl="6" w:tplc="10090001" w:tentative="1">
      <w:start w:val="1"/>
      <w:numFmt w:val="bullet"/>
      <w:lvlText w:val=""/>
      <w:lvlJc w:val="left"/>
      <w:pPr>
        <w:ind w:left="5094" w:hanging="360"/>
      </w:pPr>
      <w:rPr>
        <w:rFonts w:ascii="Symbol" w:hAnsi="Symbol" w:hint="default"/>
      </w:rPr>
    </w:lvl>
    <w:lvl w:ilvl="7" w:tplc="10090003" w:tentative="1">
      <w:start w:val="1"/>
      <w:numFmt w:val="bullet"/>
      <w:lvlText w:val="o"/>
      <w:lvlJc w:val="left"/>
      <w:pPr>
        <w:ind w:left="5814" w:hanging="360"/>
      </w:pPr>
      <w:rPr>
        <w:rFonts w:ascii="Courier New" w:hAnsi="Courier New" w:cs="Courier New" w:hint="default"/>
      </w:rPr>
    </w:lvl>
    <w:lvl w:ilvl="8" w:tplc="10090005" w:tentative="1">
      <w:start w:val="1"/>
      <w:numFmt w:val="bullet"/>
      <w:lvlText w:val=""/>
      <w:lvlJc w:val="left"/>
      <w:pPr>
        <w:ind w:left="6534" w:hanging="360"/>
      </w:pPr>
      <w:rPr>
        <w:rFonts w:ascii="Wingdings" w:hAnsi="Wingdings" w:hint="default"/>
      </w:rPr>
    </w:lvl>
  </w:abstractNum>
  <w:num w:numId="1">
    <w:abstractNumId w:val="3"/>
  </w:num>
  <w:num w:numId="2">
    <w:abstractNumId w:val="0"/>
  </w:num>
  <w:num w:numId="3">
    <w:abstractNumId w:val="2"/>
  </w:num>
  <w:num w:numId="4">
    <w:abstractNumId w:val="4"/>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efaultTabStop w:val="720"/>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80BD3"/>
    <w:rsid w:val="00012A66"/>
    <w:rsid w:val="00024835"/>
    <w:rsid w:val="00060391"/>
    <w:rsid w:val="00091CDA"/>
    <w:rsid w:val="000A063F"/>
    <w:rsid w:val="000C5E87"/>
    <w:rsid w:val="000F516E"/>
    <w:rsid w:val="001045F7"/>
    <w:rsid w:val="00134EC9"/>
    <w:rsid w:val="00161522"/>
    <w:rsid w:val="00182A08"/>
    <w:rsid w:val="00184AEC"/>
    <w:rsid w:val="001876CB"/>
    <w:rsid w:val="001B0729"/>
    <w:rsid w:val="001E0424"/>
    <w:rsid w:val="002069F9"/>
    <w:rsid w:val="00232175"/>
    <w:rsid w:val="00245435"/>
    <w:rsid w:val="00251477"/>
    <w:rsid w:val="00260BDC"/>
    <w:rsid w:val="002A4DFB"/>
    <w:rsid w:val="002B3889"/>
    <w:rsid w:val="002C714C"/>
    <w:rsid w:val="002E2D61"/>
    <w:rsid w:val="00306F6C"/>
    <w:rsid w:val="003128F4"/>
    <w:rsid w:val="00320553"/>
    <w:rsid w:val="00326AE7"/>
    <w:rsid w:val="003344D2"/>
    <w:rsid w:val="003527B3"/>
    <w:rsid w:val="00352EBD"/>
    <w:rsid w:val="0035565B"/>
    <w:rsid w:val="00357D0B"/>
    <w:rsid w:val="003628B5"/>
    <w:rsid w:val="00362B79"/>
    <w:rsid w:val="0036701B"/>
    <w:rsid w:val="003704DB"/>
    <w:rsid w:val="003740B8"/>
    <w:rsid w:val="003B02C6"/>
    <w:rsid w:val="003B7844"/>
    <w:rsid w:val="003C17B0"/>
    <w:rsid w:val="003C38D1"/>
    <w:rsid w:val="003D70BA"/>
    <w:rsid w:val="003F659B"/>
    <w:rsid w:val="00401770"/>
    <w:rsid w:val="00406DC9"/>
    <w:rsid w:val="004113B2"/>
    <w:rsid w:val="004274BD"/>
    <w:rsid w:val="00452EDE"/>
    <w:rsid w:val="00455F1E"/>
    <w:rsid w:val="00461950"/>
    <w:rsid w:val="004655D6"/>
    <w:rsid w:val="00471527"/>
    <w:rsid w:val="0047195E"/>
    <w:rsid w:val="0047516A"/>
    <w:rsid w:val="004860C4"/>
    <w:rsid w:val="004A14F4"/>
    <w:rsid w:val="004C47A1"/>
    <w:rsid w:val="004C6F3A"/>
    <w:rsid w:val="004D1FD8"/>
    <w:rsid w:val="0050475B"/>
    <w:rsid w:val="00515E93"/>
    <w:rsid w:val="00544A6E"/>
    <w:rsid w:val="00544ED4"/>
    <w:rsid w:val="00557F9D"/>
    <w:rsid w:val="00566795"/>
    <w:rsid w:val="00574E82"/>
    <w:rsid w:val="00580BD3"/>
    <w:rsid w:val="00582636"/>
    <w:rsid w:val="00593523"/>
    <w:rsid w:val="005A26A7"/>
    <w:rsid w:val="005A2D55"/>
    <w:rsid w:val="005B3CA4"/>
    <w:rsid w:val="005E0E5F"/>
    <w:rsid w:val="005E5FAF"/>
    <w:rsid w:val="005F75F9"/>
    <w:rsid w:val="0060169B"/>
    <w:rsid w:val="00616F0D"/>
    <w:rsid w:val="00622311"/>
    <w:rsid w:val="00632D74"/>
    <w:rsid w:val="00640946"/>
    <w:rsid w:val="00661971"/>
    <w:rsid w:val="00662663"/>
    <w:rsid w:val="006640D0"/>
    <w:rsid w:val="006810E8"/>
    <w:rsid w:val="006A6CE0"/>
    <w:rsid w:val="006B3281"/>
    <w:rsid w:val="006B6A58"/>
    <w:rsid w:val="006E32C6"/>
    <w:rsid w:val="007048D3"/>
    <w:rsid w:val="00710C39"/>
    <w:rsid w:val="00715A03"/>
    <w:rsid w:val="007225B7"/>
    <w:rsid w:val="00737151"/>
    <w:rsid w:val="00737340"/>
    <w:rsid w:val="00737B53"/>
    <w:rsid w:val="00751E45"/>
    <w:rsid w:val="00761780"/>
    <w:rsid w:val="0077514F"/>
    <w:rsid w:val="007A066C"/>
    <w:rsid w:val="007B123A"/>
    <w:rsid w:val="007B1D6A"/>
    <w:rsid w:val="007B60DB"/>
    <w:rsid w:val="007D1761"/>
    <w:rsid w:val="007E6533"/>
    <w:rsid w:val="007F2AB0"/>
    <w:rsid w:val="007F6081"/>
    <w:rsid w:val="007F7398"/>
    <w:rsid w:val="0080468B"/>
    <w:rsid w:val="0080483E"/>
    <w:rsid w:val="008072E7"/>
    <w:rsid w:val="00823227"/>
    <w:rsid w:val="008542B1"/>
    <w:rsid w:val="0085484B"/>
    <w:rsid w:val="00862AB8"/>
    <w:rsid w:val="00896CC2"/>
    <w:rsid w:val="008A33FB"/>
    <w:rsid w:val="008C4D28"/>
    <w:rsid w:val="008C6E89"/>
    <w:rsid w:val="008E4CB9"/>
    <w:rsid w:val="008F076C"/>
    <w:rsid w:val="008F6766"/>
    <w:rsid w:val="0091504F"/>
    <w:rsid w:val="0092105E"/>
    <w:rsid w:val="009308D3"/>
    <w:rsid w:val="00934BB9"/>
    <w:rsid w:val="0093591F"/>
    <w:rsid w:val="009402B2"/>
    <w:rsid w:val="009725BF"/>
    <w:rsid w:val="00974DB7"/>
    <w:rsid w:val="00981706"/>
    <w:rsid w:val="00992B7A"/>
    <w:rsid w:val="009B764D"/>
    <w:rsid w:val="009B7BAD"/>
    <w:rsid w:val="009D23BC"/>
    <w:rsid w:val="009E0792"/>
    <w:rsid w:val="009E32AA"/>
    <w:rsid w:val="009E70B9"/>
    <w:rsid w:val="00A05E4F"/>
    <w:rsid w:val="00A104C9"/>
    <w:rsid w:val="00A300E9"/>
    <w:rsid w:val="00A35EC1"/>
    <w:rsid w:val="00A71857"/>
    <w:rsid w:val="00A73442"/>
    <w:rsid w:val="00A82217"/>
    <w:rsid w:val="00A9008B"/>
    <w:rsid w:val="00A94DA7"/>
    <w:rsid w:val="00AA2F3F"/>
    <w:rsid w:val="00AB4463"/>
    <w:rsid w:val="00AC67CD"/>
    <w:rsid w:val="00AD2B85"/>
    <w:rsid w:val="00AD4992"/>
    <w:rsid w:val="00AE2653"/>
    <w:rsid w:val="00AE4A5C"/>
    <w:rsid w:val="00B00A51"/>
    <w:rsid w:val="00B01DBC"/>
    <w:rsid w:val="00B0461B"/>
    <w:rsid w:val="00B10416"/>
    <w:rsid w:val="00B23FE5"/>
    <w:rsid w:val="00B350B0"/>
    <w:rsid w:val="00B50BA2"/>
    <w:rsid w:val="00B62FA4"/>
    <w:rsid w:val="00B768D7"/>
    <w:rsid w:val="00B950AB"/>
    <w:rsid w:val="00BB5424"/>
    <w:rsid w:val="00BD35DD"/>
    <w:rsid w:val="00BE0989"/>
    <w:rsid w:val="00BF6821"/>
    <w:rsid w:val="00BF6921"/>
    <w:rsid w:val="00C053E2"/>
    <w:rsid w:val="00C13C38"/>
    <w:rsid w:val="00C57D66"/>
    <w:rsid w:val="00C64A16"/>
    <w:rsid w:val="00C67DFC"/>
    <w:rsid w:val="00C85936"/>
    <w:rsid w:val="00C85EBE"/>
    <w:rsid w:val="00CA27BF"/>
    <w:rsid w:val="00CC427D"/>
    <w:rsid w:val="00CD3E28"/>
    <w:rsid w:val="00CE3C1C"/>
    <w:rsid w:val="00CE5BAD"/>
    <w:rsid w:val="00CF0C32"/>
    <w:rsid w:val="00D058AB"/>
    <w:rsid w:val="00D076A2"/>
    <w:rsid w:val="00D177C2"/>
    <w:rsid w:val="00D30473"/>
    <w:rsid w:val="00D44035"/>
    <w:rsid w:val="00D51CA5"/>
    <w:rsid w:val="00D524C2"/>
    <w:rsid w:val="00D56F9F"/>
    <w:rsid w:val="00D8141E"/>
    <w:rsid w:val="00D82366"/>
    <w:rsid w:val="00DA34D6"/>
    <w:rsid w:val="00DC2676"/>
    <w:rsid w:val="00DD0165"/>
    <w:rsid w:val="00DF0DED"/>
    <w:rsid w:val="00E0070D"/>
    <w:rsid w:val="00E013F3"/>
    <w:rsid w:val="00E04255"/>
    <w:rsid w:val="00E1360A"/>
    <w:rsid w:val="00E13A0C"/>
    <w:rsid w:val="00E1400F"/>
    <w:rsid w:val="00E21ED6"/>
    <w:rsid w:val="00E31836"/>
    <w:rsid w:val="00E32869"/>
    <w:rsid w:val="00E32A16"/>
    <w:rsid w:val="00E7514D"/>
    <w:rsid w:val="00E763A5"/>
    <w:rsid w:val="00E80CDB"/>
    <w:rsid w:val="00E84882"/>
    <w:rsid w:val="00E908B3"/>
    <w:rsid w:val="00E91D62"/>
    <w:rsid w:val="00E91E41"/>
    <w:rsid w:val="00EA607E"/>
    <w:rsid w:val="00EA7FFD"/>
    <w:rsid w:val="00EB207F"/>
    <w:rsid w:val="00EB54D5"/>
    <w:rsid w:val="00EC12D0"/>
    <w:rsid w:val="00EC23C9"/>
    <w:rsid w:val="00EC7795"/>
    <w:rsid w:val="00ED7C89"/>
    <w:rsid w:val="00EE067C"/>
    <w:rsid w:val="00EF08AB"/>
    <w:rsid w:val="00EF3D79"/>
    <w:rsid w:val="00EF4693"/>
    <w:rsid w:val="00F07DC0"/>
    <w:rsid w:val="00F25BDF"/>
    <w:rsid w:val="00F261A9"/>
    <w:rsid w:val="00F41DFB"/>
    <w:rsid w:val="00F503FB"/>
    <w:rsid w:val="00F5321E"/>
    <w:rsid w:val="00F64BB5"/>
    <w:rsid w:val="00F668F2"/>
    <w:rsid w:val="00F67120"/>
    <w:rsid w:val="00FA0911"/>
    <w:rsid w:val="00FB3F1D"/>
    <w:rsid w:val="00FB435D"/>
    <w:rsid w:val="00FB7767"/>
    <w:rsid w:val="00FC044B"/>
    <w:rsid w:val="00FC19E3"/>
    <w:rsid w:val="00FD1C30"/>
    <w:rsid w:val="00FD5010"/>
    <w:rsid w:val="00FE364E"/>
    <w:rsid w:val="00FF3EB5"/>
  </w:rsids>
  <m:mathPr>
    <m:mathFont m:val="Cambria Math"/>
    <m:brkBin m:val="before"/>
    <m:brkBinSub m:val="--"/>
    <m:smallFrac m:val="0"/>
    <m:dispDef/>
    <m:lMargin m:val="0"/>
    <m:rMargin m:val="0"/>
    <m:defJc m:val="centerGroup"/>
    <m:wrapIndent m:val="1440"/>
    <m:intLim m:val="subSup"/>
    <m:naryLim m:val="undOvr"/>
  </m:mathPr>
  <w:themeFontLang w:val="en-CA"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2522377"/>
  <w15:docId w15:val="{68C15320-2D79-440C-80FD-27707A0C00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CA" w:eastAsia="en-C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E067C"/>
    <w:pPr>
      <w:spacing w:after="200" w:line="276" w:lineRule="auto"/>
    </w:pPr>
    <w:rPr>
      <w:sz w:val="22"/>
      <w:szCs w:val="22"/>
      <w:lang w:eastAsia="en-US"/>
    </w:rPr>
  </w:style>
  <w:style w:type="paragraph" w:styleId="Heading1">
    <w:name w:val="heading 1"/>
    <w:basedOn w:val="Normal"/>
    <w:next w:val="Normal"/>
    <w:link w:val="Heading1Char"/>
    <w:uiPriority w:val="9"/>
    <w:qFormat/>
    <w:rsid w:val="005F75F9"/>
    <w:pPr>
      <w:keepNext/>
      <w:spacing w:before="240" w:after="60"/>
      <w:outlineLvl w:val="0"/>
    </w:pPr>
    <w:rPr>
      <w:rFonts w:asciiTheme="majorHAnsi" w:eastAsiaTheme="majorEastAsia" w:hAnsiTheme="majorHAnsi" w:cstheme="majorBidi"/>
      <w:b/>
      <w:bCs/>
      <w:kern w:val="32"/>
      <w:sz w:val="32"/>
      <w:szCs w:val="32"/>
    </w:rPr>
  </w:style>
  <w:style w:type="paragraph" w:styleId="Heading2">
    <w:name w:val="heading 2"/>
    <w:basedOn w:val="Normal"/>
    <w:next w:val="Normal"/>
    <w:link w:val="Heading2Char"/>
    <w:uiPriority w:val="9"/>
    <w:unhideWhenUsed/>
    <w:qFormat/>
    <w:rsid w:val="005F75F9"/>
    <w:pPr>
      <w:keepNext/>
      <w:spacing w:before="240" w:after="60"/>
      <w:outlineLvl w:val="1"/>
    </w:pPr>
    <w:rPr>
      <w:rFonts w:asciiTheme="majorHAnsi" w:eastAsiaTheme="majorEastAsia" w:hAnsiTheme="majorHAnsi" w:cstheme="majorBidi"/>
      <w:b/>
      <w:bCs/>
      <w:i/>
      <w:iCs/>
      <w:sz w:val="28"/>
      <w:szCs w:val="28"/>
    </w:rPr>
  </w:style>
  <w:style w:type="paragraph" w:styleId="Heading3">
    <w:name w:val="heading 3"/>
    <w:basedOn w:val="Normal"/>
    <w:next w:val="Normal"/>
    <w:link w:val="Heading3Char"/>
    <w:uiPriority w:val="9"/>
    <w:unhideWhenUsed/>
    <w:qFormat/>
    <w:rsid w:val="007B60DB"/>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unhideWhenUsed/>
    <w:rsid w:val="00580BD3"/>
    <w:rPr>
      <w:color w:val="0000FF"/>
      <w:u w:val="single"/>
    </w:rPr>
  </w:style>
  <w:style w:type="paragraph" w:styleId="BalloonText">
    <w:name w:val="Balloon Text"/>
    <w:basedOn w:val="Normal"/>
    <w:link w:val="BalloonTextChar"/>
    <w:uiPriority w:val="99"/>
    <w:semiHidden/>
    <w:unhideWhenUsed/>
    <w:rsid w:val="003B02C6"/>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3B02C6"/>
    <w:rPr>
      <w:rFonts w:ascii="Tahoma" w:hAnsi="Tahoma" w:cs="Tahoma"/>
      <w:sz w:val="16"/>
      <w:szCs w:val="16"/>
    </w:rPr>
  </w:style>
  <w:style w:type="table" w:styleId="TableGrid">
    <w:name w:val="Table Grid"/>
    <w:basedOn w:val="TableNormal"/>
    <w:uiPriority w:val="59"/>
    <w:rsid w:val="004655D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A607E"/>
    <w:pPr>
      <w:ind w:left="720"/>
      <w:contextualSpacing/>
    </w:pPr>
  </w:style>
  <w:style w:type="character" w:styleId="FollowedHyperlink">
    <w:name w:val="FollowedHyperlink"/>
    <w:uiPriority w:val="99"/>
    <w:semiHidden/>
    <w:unhideWhenUsed/>
    <w:rsid w:val="005E0E5F"/>
    <w:rPr>
      <w:color w:val="954F72"/>
      <w:u w:val="single"/>
    </w:rPr>
  </w:style>
  <w:style w:type="character" w:styleId="CommentReference">
    <w:name w:val="annotation reference"/>
    <w:uiPriority w:val="99"/>
    <w:semiHidden/>
    <w:unhideWhenUsed/>
    <w:rsid w:val="0047516A"/>
    <w:rPr>
      <w:sz w:val="16"/>
      <w:szCs w:val="16"/>
    </w:rPr>
  </w:style>
  <w:style w:type="paragraph" w:styleId="CommentText">
    <w:name w:val="annotation text"/>
    <w:basedOn w:val="Normal"/>
    <w:link w:val="CommentTextChar"/>
    <w:uiPriority w:val="99"/>
    <w:semiHidden/>
    <w:unhideWhenUsed/>
    <w:rsid w:val="0047516A"/>
    <w:rPr>
      <w:sz w:val="20"/>
      <w:szCs w:val="20"/>
    </w:rPr>
  </w:style>
  <w:style w:type="character" w:customStyle="1" w:styleId="CommentTextChar">
    <w:name w:val="Comment Text Char"/>
    <w:link w:val="CommentText"/>
    <w:uiPriority w:val="99"/>
    <w:semiHidden/>
    <w:rsid w:val="0047516A"/>
    <w:rPr>
      <w:lang w:eastAsia="en-US"/>
    </w:rPr>
  </w:style>
  <w:style w:type="paragraph" w:styleId="CommentSubject">
    <w:name w:val="annotation subject"/>
    <w:basedOn w:val="CommentText"/>
    <w:next w:val="CommentText"/>
    <w:link w:val="CommentSubjectChar"/>
    <w:uiPriority w:val="99"/>
    <w:semiHidden/>
    <w:unhideWhenUsed/>
    <w:rsid w:val="0047516A"/>
    <w:rPr>
      <w:b/>
      <w:bCs/>
    </w:rPr>
  </w:style>
  <w:style w:type="character" w:customStyle="1" w:styleId="CommentSubjectChar">
    <w:name w:val="Comment Subject Char"/>
    <w:link w:val="CommentSubject"/>
    <w:uiPriority w:val="99"/>
    <w:semiHidden/>
    <w:rsid w:val="0047516A"/>
    <w:rPr>
      <w:b/>
      <w:bCs/>
      <w:lang w:eastAsia="en-US"/>
    </w:rPr>
  </w:style>
  <w:style w:type="paragraph" w:styleId="Title">
    <w:name w:val="Title"/>
    <w:basedOn w:val="Normal"/>
    <w:next w:val="Normal"/>
    <w:link w:val="TitleChar"/>
    <w:uiPriority w:val="10"/>
    <w:qFormat/>
    <w:rsid w:val="005F75F9"/>
    <w:pPr>
      <w:spacing w:before="240" w:after="60"/>
      <w:jc w:val="center"/>
      <w:outlineLvl w:val="0"/>
    </w:pPr>
    <w:rPr>
      <w:rFonts w:asciiTheme="majorHAnsi" w:eastAsiaTheme="majorEastAsia" w:hAnsiTheme="majorHAnsi" w:cstheme="majorBidi"/>
      <w:b/>
      <w:bCs/>
      <w:kern w:val="28"/>
      <w:sz w:val="32"/>
      <w:szCs w:val="32"/>
    </w:rPr>
  </w:style>
  <w:style w:type="character" w:customStyle="1" w:styleId="TitleChar">
    <w:name w:val="Title Char"/>
    <w:basedOn w:val="DefaultParagraphFont"/>
    <w:link w:val="Title"/>
    <w:uiPriority w:val="10"/>
    <w:rsid w:val="005F75F9"/>
    <w:rPr>
      <w:rFonts w:asciiTheme="majorHAnsi" w:eastAsiaTheme="majorEastAsia" w:hAnsiTheme="majorHAnsi" w:cstheme="majorBidi"/>
      <w:b/>
      <w:bCs/>
      <w:kern w:val="28"/>
      <w:sz w:val="32"/>
      <w:szCs w:val="32"/>
      <w:lang w:eastAsia="en-US"/>
    </w:rPr>
  </w:style>
  <w:style w:type="character" w:customStyle="1" w:styleId="Heading2Char">
    <w:name w:val="Heading 2 Char"/>
    <w:basedOn w:val="DefaultParagraphFont"/>
    <w:link w:val="Heading2"/>
    <w:uiPriority w:val="9"/>
    <w:rsid w:val="005F75F9"/>
    <w:rPr>
      <w:rFonts w:asciiTheme="majorHAnsi" w:eastAsiaTheme="majorEastAsia" w:hAnsiTheme="majorHAnsi" w:cstheme="majorBidi"/>
      <w:b/>
      <w:bCs/>
      <w:i/>
      <w:iCs/>
      <w:sz w:val="28"/>
      <w:szCs w:val="28"/>
      <w:lang w:eastAsia="en-US"/>
    </w:rPr>
  </w:style>
  <w:style w:type="character" w:customStyle="1" w:styleId="Heading1Char">
    <w:name w:val="Heading 1 Char"/>
    <w:basedOn w:val="DefaultParagraphFont"/>
    <w:link w:val="Heading1"/>
    <w:uiPriority w:val="9"/>
    <w:rsid w:val="005F75F9"/>
    <w:rPr>
      <w:rFonts w:asciiTheme="majorHAnsi" w:eastAsiaTheme="majorEastAsia" w:hAnsiTheme="majorHAnsi" w:cstheme="majorBidi"/>
      <w:b/>
      <w:bCs/>
      <w:kern w:val="32"/>
      <w:sz w:val="32"/>
      <w:szCs w:val="32"/>
      <w:lang w:eastAsia="en-US"/>
    </w:rPr>
  </w:style>
  <w:style w:type="paragraph" w:styleId="FootnoteText">
    <w:name w:val="footnote text"/>
    <w:basedOn w:val="Normal"/>
    <w:link w:val="FootnoteTextChar"/>
    <w:uiPriority w:val="99"/>
    <w:semiHidden/>
    <w:unhideWhenUsed/>
    <w:rsid w:val="008F076C"/>
    <w:rPr>
      <w:sz w:val="20"/>
      <w:szCs w:val="20"/>
    </w:rPr>
  </w:style>
  <w:style w:type="character" w:customStyle="1" w:styleId="FootnoteTextChar">
    <w:name w:val="Footnote Text Char"/>
    <w:basedOn w:val="DefaultParagraphFont"/>
    <w:link w:val="FootnoteText"/>
    <w:uiPriority w:val="99"/>
    <w:semiHidden/>
    <w:rsid w:val="008F076C"/>
    <w:rPr>
      <w:lang w:eastAsia="en-US"/>
    </w:rPr>
  </w:style>
  <w:style w:type="character" w:styleId="FootnoteReference">
    <w:name w:val="footnote reference"/>
    <w:basedOn w:val="DefaultParagraphFont"/>
    <w:uiPriority w:val="99"/>
    <w:semiHidden/>
    <w:unhideWhenUsed/>
    <w:rsid w:val="008F076C"/>
    <w:rPr>
      <w:vertAlign w:val="superscript"/>
    </w:rPr>
  </w:style>
  <w:style w:type="paragraph" w:customStyle="1" w:styleId="AttributeTableBody">
    <w:name w:val="Attribute Table Body"/>
    <w:basedOn w:val="Normal"/>
    <w:rsid w:val="00B62FA4"/>
    <w:pPr>
      <w:spacing w:before="40" w:after="30" w:line="240" w:lineRule="auto"/>
      <w:jc w:val="center"/>
    </w:pPr>
    <w:rPr>
      <w:rFonts w:ascii="Arial" w:hAnsi="Arial" w:cs="Arial"/>
      <w:kern w:val="16"/>
      <w:sz w:val="16"/>
      <w:szCs w:val="20"/>
      <w:lang w:val="en-US"/>
    </w:rPr>
  </w:style>
  <w:style w:type="character" w:customStyle="1" w:styleId="Heading3Char">
    <w:name w:val="Heading 3 Char"/>
    <w:basedOn w:val="DefaultParagraphFont"/>
    <w:link w:val="Heading3"/>
    <w:uiPriority w:val="9"/>
    <w:rsid w:val="007B60DB"/>
    <w:rPr>
      <w:rFonts w:asciiTheme="majorHAnsi" w:eastAsiaTheme="majorEastAsia" w:hAnsiTheme="majorHAnsi" w:cstheme="majorBidi"/>
      <w:color w:val="1F4D78" w:themeColor="accent1" w:themeShade="7F"/>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8731357">
      <w:bodyDiv w:val="1"/>
      <w:marLeft w:val="0"/>
      <w:marRight w:val="0"/>
      <w:marTop w:val="0"/>
      <w:marBottom w:val="0"/>
      <w:divBdr>
        <w:top w:val="none" w:sz="0" w:space="0" w:color="auto"/>
        <w:left w:val="none" w:sz="0" w:space="0" w:color="auto"/>
        <w:bottom w:val="none" w:sz="0" w:space="0" w:color="auto"/>
        <w:right w:val="none" w:sz="0" w:space="0" w:color="auto"/>
      </w:divBdr>
    </w:div>
    <w:div w:id="530070380">
      <w:bodyDiv w:val="1"/>
      <w:marLeft w:val="0"/>
      <w:marRight w:val="0"/>
      <w:marTop w:val="0"/>
      <w:marBottom w:val="0"/>
      <w:divBdr>
        <w:top w:val="none" w:sz="0" w:space="0" w:color="auto"/>
        <w:left w:val="none" w:sz="0" w:space="0" w:color="auto"/>
        <w:bottom w:val="none" w:sz="0" w:space="0" w:color="auto"/>
        <w:right w:val="none" w:sz="0" w:space="0" w:color="auto"/>
      </w:divBdr>
    </w:div>
    <w:div w:id="1127310741">
      <w:bodyDiv w:val="1"/>
      <w:marLeft w:val="0"/>
      <w:marRight w:val="0"/>
      <w:marTop w:val="0"/>
      <w:marBottom w:val="0"/>
      <w:divBdr>
        <w:top w:val="none" w:sz="0" w:space="0" w:color="auto"/>
        <w:left w:val="none" w:sz="0" w:space="0" w:color="auto"/>
        <w:bottom w:val="none" w:sz="0" w:space="0" w:color="auto"/>
        <w:right w:val="none" w:sz="0" w:space="0" w:color="auto"/>
      </w:divBdr>
      <w:divsChild>
        <w:div w:id="700937463">
          <w:marLeft w:val="0"/>
          <w:marRight w:val="0"/>
          <w:marTop w:val="0"/>
          <w:marBottom w:val="0"/>
          <w:divBdr>
            <w:top w:val="none" w:sz="0" w:space="0" w:color="auto"/>
            <w:left w:val="none" w:sz="0" w:space="0" w:color="auto"/>
            <w:bottom w:val="none" w:sz="0" w:space="0" w:color="auto"/>
            <w:right w:val="none" w:sz="0" w:space="0" w:color="auto"/>
          </w:divBdr>
          <w:divsChild>
            <w:div w:id="178468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0805611">
      <w:bodyDiv w:val="1"/>
      <w:marLeft w:val="0"/>
      <w:marRight w:val="0"/>
      <w:marTop w:val="0"/>
      <w:marBottom w:val="0"/>
      <w:divBdr>
        <w:top w:val="none" w:sz="0" w:space="0" w:color="auto"/>
        <w:left w:val="none" w:sz="0" w:space="0" w:color="auto"/>
        <w:bottom w:val="none" w:sz="0" w:space="0" w:color="auto"/>
        <w:right w:val="none" w:sz="0" w:space="0" w:color="auto"/>
      </w:divBdr>
    </w:div>
    <w:div w:id="21247639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hl7.org/fhir/NamingSystem/iccbba-other-di"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hl7.org/fhir/StructureDefinition/device-donationIdentificationNumber"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www.fda.gov/downloads/MedicalDevices/DeviceRegulationandGuidance/UniqueDeviceIdentification/GlobalUDIDatabaseGUDID/UCM396595.doc"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E8A6B92-9162-4F45-B079-C27BE4C8B7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3005</Words>
  <Characters>17129</Characters>
  <Application>Microsoft Office Word</Application>
  <DocSecurity>0</DocSecurity>
  <Lines>142</Lines>
  <Paragraphs>40</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20094</CharactersWithSpaces>
  <SharedDoc>false</SharedDoc>
  <HLinks>
    <vt:vector size="12" baseType="variant">
      <vt:variant>
        <vt:i4>6619191</vt:i4>
      </vt:variant>
      <vt:variant>
        <vt:i4>3</vt:i4>
      </vt:variant>
      <vt:variant>
        <vt:i4>0</vt:i4>
      </vt:variant>
      <vt:variant>
        <vt:i4>5</vt:i4>
      </vt:variant>
      <vt:variant>
        <vt:lpwstr>https://hl7.org/fhir/DonorIdentificationNumber</vt:lpwstr>
      </vt:variant>
      <vt:variant>
        <vt:lpwstr/>
      </vt:variant>
      <vt:variant>
        <vt:i4>7012403</vt:i4>
      </vt:variant>
      <vt:variant>
        <vt:i4>0</vt:i4>
      </vt:variant>
      <vt:variant>
        <vt:i4>0</vt:i4>
      </vt:variant>
      <vt:variant>
        <vt:i4>5</vt:i4>
      </vt:variant>
      <vt:variant>
        <vt:lpwstr>http://www.fda.gov/downloads/MedicalDevices/DeviceRegulationandGuidance/GuidanceDocuments/UCM369248.pdf</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Paul Knapp</dc:creator>
  <cp:keywords/>
  <dc:description/>
  <cp:lastModifiedBy>Paul</cp:lastModifiedBy>
  <cp:revision>4</cp:revision>
  <cp:lastPrinted>2014-09-30T14:08:00Z</cp:lastPrinted>
  <dcterms:created xsi:type="dcterms:W3CDTF">2016-03-14T20:03:00Z</dcterms:created>
  <dcterms:modified xsi:type="dcterms:W3CDTF">2016-03-14T20:06:00Z</dcterms:modified>
</cp:coreProperties>
</file>